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6C1C5" w14:textId="77777777" w:rsidR="00B53C16" w:rsidRPr="00F13BDE" w:rsidRDefault="00B53C16" w:rsidP="003906D7">
      <w:pPr>
        <w:pStyle w:val="Title"/>
        <w:spacing w:line="276" w:lineRule="auto"/>
        <w:rPr>
          <w:b w:val="0"/>
          <w:sz w:val="24"/>
          <w:szCs w:val="24"/>
        </w:rPr>
      </w:pPr>
      <w:r w:rsidRPr="00F13BDE">
        <w:rPr>
          <w:sz w:val="24"/>
          <w:szCs w:val="24"/>
        </w:rPr>
        <w:t>С   П   Р   А   В   К   А</w:t>
      </w:r>
    </w:p>
    <w:p w14:paraId="43948519" w14:textId="1088E772" w:rsidR="00B53C16" w:rsidRPr="00F13BDE" w:rsidRDefault="00B53C16" w:rsidP="003906D7">
      <w:pPr>
        <w:pStyle w:val="BodyTextIndent2"/>
        <w:tabs>
          <w:tab w:val="left" w:pos="1134"/>
        </w:tabs>
        <w:spacing w:after="0" w:line="276" w:lineRule="auto"/>
        <w:ind w:left="0" w:right="-128"/>
        <w:jc w:val="center"/>
        <w:rPr>
          <w:lang w:val="bg-BG"/>
        </w:rPr>
      </w:pPr>
      <w:r w:rsidRPr="00F13BDE">
        <w:rPr>
          <w:lang w:val="bg-BG"/>
        </w:rPr>
        <w:t xml:space="preserve">за отразяване на постъпилите предложения, становища и коментари на членовете на </w:t>
      </w:r>
      <w:r w:rsidR="005D1B61">
        <w:rPr>
          <w:lang w:val="bg-BG"/>
        </w:rPr>
        <w:t xml:space="preserve">Регионалния съвет за развитие на </w:t>
      </w:r>
      <w:r w:rsidR="006C6DE5">
        <w:rPr>
          <w:lang w:val="bg-BG"/>
        </w:rPr>
        <w:t>Югоизточен</w:t>
      </w:r>
      <w:r w:rsidR="005D1B61">
        <w:rPr>
          <w:lang w:val="bg-BG"/>
        </w:rPr>
        <w:t xml:space="preserve"> регион за планиране от ниво 2 по проект на Интегрирана териториална стратегия за развитие на </w:t>
      </w:r>
      <w:r w:rsidR="006C6DE5">
        <w:rPr>
          <w:lang w:val="bg-BG"/>
        </w:rPr>
        <w:t>Югоизточния</w:t>
      </w:r>
      <w:r w:rsidR="005D1B61" w:rsidRPr="005D1B61">
        <w:rPr>
          <w:lang w:val="bg-BG"/>
        </w:rPr>
        <w:t xml:space="preserve"> регион за планиране от ниво</w:t>
      </w:r>
      <w:r w:rsidR="005D1B61">
        <w:rPr>
          <w:lang w:val="bg-BG"/>
        </w:rPr>
        <w:t xml:space="preserve"> 2</w:t>
      </w:r>
    </w:p>
    <w:p w14:paraId="33C2E474" w14:textId="77777777" w:rsidR="00F71FED" w:rsidRPr="00F13BDE" w:rsidRDefault="00F71F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89" w:type="dxa"/>
        <w:tblLook w:val="04A0" w:firstRow="1" w:lastRow="0" w:firstColumn="1" w:lastColumn="0" w:noHBand="0" w:noVBand="1"/>
      </w:tblPr>
      <w:tblGrid>
        <w:gridCol w:w="516"/>
        <w:gridCol w:w="1979"/>
        <w:gridCol w:w="6000"/>
        <w:gridCol w:w="1893"/>
        <w:gridCol w:w="4001"/>
      </w:tblGrid>
      <w:tr w:rsidR="003906D7" w:rsidRPr="00F13BDE" w14:paraId="31D6C052" w14:textId="77777777" w:rsidTr="0014132D">
        <w:trPr>
          <w:trHeight w:val="730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56C2FDD9" w14:textId="5B148D1C" w:rsidR="003906D7" w:rsidRPr="00F13BDE" w:rsidRDefault="003906D7" w:rsidP="00E8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14:paraId="11914128" w14:textId="46FF2172" w:rsidR="003906D7" w:rsidRPr="00F13BDE" w:rsidRDefault="00591AF0" w:rsidP="00E8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000" w:type="dxa"/>
            <w:shd w:val="clear" w:color="auto" w:fill="BDD6EE" w:themeFill="accent1" w:themeFillTint="66"/>
            <w:vAlign w:val="center"/>
          </w:tcPr>
          <w:p w14:paraId="0C7D4E69" w14:textId="3BC32BFE" w:rsidR="003906D7" w:rsidRPr="00F13BDE" w:rsidRDefault="003906D7" w:rsidP="00E8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D7">
              <w:rPr>
                <w:rFonts w:ascii="Times New Roman" w:hAnsi="Times New Roman" w:cs="Times New Roman"/>
                <w:sz w:val="24"/>
                <w:szCs w:val="24"/>
              </w:rPr>
              <w:t>Предложения, становища, коментари</w:t>
            </w:r>
          </w:p>
        </w:tc>
        <w:tc>
          <w:tcPr>
            <w:tcW w:w="1893" w:type="dxa"/>
            <w:shd w:val="clear" w:color="auto" w:fill="BDD6EE" w:themeFill="accent1" w:themeFillTint="66"/>
            <w:vAlign w:val="center"/>
          </w:tcPr>
          <w:p w14:paraId="66C3F3BF" w14:textId="0830BBB2" w:rsidR="003906D7" w:rsidRDefault="003906D7" w:rsidP="00E8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се/Не се приема</w:t>
            </w:r>
          </w:p>
        </w:tc>
        <w:tc>
          <w:tcPr>
            <w:tcW w:w="4001" w:type="dxa"/>
            <w:shd w:val="clear" w:color="auto" w:fill="BDD6EE" w:themeFill="accent1" w:themeFillTint="66"/>
            <w:vAlign w:val="center"/>
          </w:tcPr>
          <w:p w14:paraId="3E35D26F" w14:textId="09C6E981" w:rsidR="003906D7" w:rsidRPr="00F13BDE" w:rsidRDefault="00FE3E3A" w:rsidP="00E8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</w:t>
            </w:r>
          </w:p>
        </w:tc>
      </w:tr>
      <w:tr w:rsidR="006F3EAB" w:rsidRPr="00F13BDE" w14:paraId="0B9CD0C3" w14:textId="77777777" w:rsidTr="0014132D">
        <w:trPr>
          <w:trHeight w:val="303"/>
        </w:trPr>
        <w:tc>
          <w:tcPr>
            <w:tcW w:w="516" w:type="dxa"/>
            <w:vMerge w:val="restart"/>
          </w:tcPr>
          <w:p w14:paraId="169CD505" w14:textId="0524035A" w:rsidR="006F3EAB" w:rsidRPr="003906D7" w:rsidRDefault="006F3EAB" w:rsidP="003906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06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</w:tcPr>
          <w:p w14:paraId="19A4E262" w14:textId="0FE67532" w:rsidR="006F3EAB" w:rsidRPr="00F13BDE" w:rsidRDefault="006F3EAB" w:rsidP="00B53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Сливен</w:t>
            </w:r>
          </w:p>
        </w:tc>
        <w:tc>
          <w:tcPr>
            <w:tcW w:w="6000" w:type="dxa"/>
          </w:tcPr>
          <w:p w14:paraId="061BDF30" w14:textId="0AEED03D" w:rsidR="006F3EAB" w:rsidRPr="00DC49CB" w:rsidRDefault="006F3EAB" w:rsidP="00DC49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CB">
              <w:rPr>
                <w:rFonts w:ascii="Times New Roman" w:hAnsi="Times New Roman" w:cs="Times New Roman"/>
                <w:sz w:val="24"/>
                <w:szCs w:val="24"/>
              </w:rPr>
              <w:t>На стр. 128 от ИТСР „Пространствени характеристики на Югоизточен регион като потенциали за развитие на културното наследство“ да се включат: С</w:t>
            </w:r>
            <w:r w:rsidR="00A67C63">
              <w:rPr>
                <w:rFonts w:ascii="Times New Roman" w:hAnsi="Times New Roman" w:cs="Times New Roman"/>
                <w:sz w:val="24"/>
                <w:szCs w:val="24"/>
              </w:rPr>
              <w:t>ливен: А</w:t>
            </w:r>
            <w:r w:rsidRPr="00DC49CB">
              <w:rPr>
                <w:rFonts w:ascii="Times New Roman" w:hAnsi="Times New Roman" w:cs="Times New Roman"/>
                <w:sz w:val="24"/>
                <w:szCs w:val="24"/>
              </w:rPr>
              <w:t>нтична и средновековна крепост Туида и Тракийска гробница с. Калояново</w:t>
            </w:r>
          </w:p>
        </w:tc>
        <w:tc>
          <w:tcPr>
            <w:tcW w:w="1893" w:type="dxa"/>
          </w:tcPr>
          <w:p w14:paraId="48D31D71" w14:textId="16975789" w:rsidR="006F3EAB" w:rsidRPr="00854F50" w:rsidRDefault="00134039" w:rsidP="00B140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се. </w:t>
            </w:r>
          </w:p>
        </w:tc>
        <w:tc>
          <w:tcPr>
            <w:tcW w:w="4001" w:type="dxa"/>
          </w:tcPr>
          <w:p w14:paraId="27EEB4DA" w14:textId="6E20546E" w:rsidR="006F3EAB" w:rsidRPr="004B2C50" w:rsidRDefault="004B2C50" w:rsidP="00B140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C50">
              <w:rPr>
                <w:rFonts w:ascii="Times New Roman" w:hAnsi="Times New Roman" w:cs="Times New Roman"/>
                <w:sz w:val="24"/>
                <w:szCs w:val="24"/>
              </w:rPr>
              <w:t xml:space="preserve">Текстът ще бъде допълнен. </w:t>
            </w:r>
          </w:p>
        </w:tc>
      </w:tr>
      <w:tr w:rsidR="006F3EAB" w:rsidRPr="00F13BDE" w14:paraId="6473A0B9" w14:textId="77777777" w:rsidTr="0014132D">
        <w:trPr>
          <w:trHeight w:val="303"/>
        </w:trPr>
        <w:tc>
          <w:tcPr>
            <w:tcW w:w="516" w:type="dxa"/>
            <w:vMerge/>
          </w:tcPr>
          <w:p w14:paraId="1A0179D8" w14:textId="0A2AFD91" w:rsidR="006F3EAB" w:rsidRPr="00F13BDE" w:rsidRDefault="006F3EAB" w:rsidP="00B53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45AC255E" w14:textId="04B0B561" w:rsidR="006F3EAB" w:rsidRPr="00F13BDE" w:rsidRDefault="006F3EAB" w:rsidP="00B53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3606EFF7" w14:textId="30B2F3B7" w:rsidR="006F3EAB" w:rsidRPr="00DC49CB" w:rsidRDefault="006F3EAB" w:rsidP="00DC49CB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DC49CB">
              <w:rPr>
                <w:sz w:val="24"/>
                <w:szCs w:val="24"/>
                <w:lang w:val="bg-BG"/>
              </w:rPr>
              <w:t>На стр. 134 от ИТСР към: 2.10.6. „Територии, Функционални зони – неформални райони със специфични характеристики, проблеми и потенциали</w:t>
            </w:r>
          </w:p>
          <w:p w14:paraId="4330B07F" w14:textId="7479B3DF" w:rsidR="006F3EAB" w:rsidRPr="00DC49CB" w:rsidRDefault="006F3EAB" w:rsidP="00DC49CB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DC49CB">
              <w:rPr>
                <w:sz w:val="24"/>
                <w:szCs w:val="24"/>
                <w:lang w:val="bg-BG"/>
              </w:rPr>
              <w:t>Зони за стимулирано развитие“:</w:t>
            </w:r>
          </w:p>
          <w:p w14:paraId="3DEFC2D7" w14:textId="77777777" w:rsidR="006F3EAB" w:rsidRPr="00DC49CB" w:rsidRDefault="006F3EAB" w:rsidP="00DC49CB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DC49CB">
              <w:rPr>
                <w:sz w:val="24"/>
                <w:szCs w:val="24"/>
                <w:lang w:val="bg-BG"/>
              </w:rPr>
              <w:t xml:space="preserve">Да се включат към: </w:t>
            </w:r>
          </w:p>
          <w:p w14:paraId="6B4DF63C" w14:textId="77777777" w:rsidR="006F3EAB" w:rsidRDefault="006F3EAB" w:rsidP="00DC49CB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DC49CB">
              <w:rPr>
                <w:sz w:val="24"/>
                <w:szCs w:val="24"/>
                <w:lang w:val="bg-BG"/>
              </w:rPr>
              <w:t>По-важните и</w:t>
            </w:r>
            <w:r>
              <w:rPr>
                <w:sz w:val="24"/>
                <w:szCs w:val="24"/>
                <w:lang w:val="bg-BG"/>
              </w:rPr>
              <w:t xml:space="preserve">нвестиции в частта на ЮИР, са: </w:t>
            </w:r>
          </w:p>
          <w:p w14:paraId="2B1C1C81" w14:textId="77777777" w:rsidR="006F3EAB" w:rsidRDefault="006F3EAB" w:rsidP="00DC49CB">
            <w:pPr>
              <w:pStyle w:val="CommentText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DC49CB">
              <w:rPr>
                <w:sz w:val="24"/>
                <w:szCs w:val="24"/>
                <w:lang w:val="bg-BG"/>
              </w:rPr>
              <w:t>Проектиране и изграждане на Индустриален парк/зона „Бършен“(Източна Тракия) гр. Сливен, част от инвестиционна дестинация/зона Сливен – Ямбол</w:t>
            </w:r>
          </w:p>
          <w:p w14:paraId="1CDE651A" w14:textId="27F30837" w:rsidR="006F3EAB" w:rsidRDefault="006F3EAB" w:rsidP="00DC49CB">
            <w:pPr>
              <w:pStyle w:val="CommentText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DC49CB">
              <w:rPr>
                <w:sz w:val="24"/>
                <w:szCs w:val="24"/>
                <w:lang w:val="bg-BG"/>
              </w:rPr>
              <w:t>Проектиране и изграждане инфраструктура от градската среда и обслужващата сфера на територията на бивши военни поделения на територията на град Сливен.</w:t>
            </w:r>
          </w:p>
          <w:p w14:paraId="318EDEED" w14:textId="510B05BC" w:rsidR="00691ED8" w:rsidRDefault="00691ED8" w:rsidP="00691ED8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</w:p>
          <w:p w14:paraId="2EE7DCC2" w14:textId="100CC1B1" w:rsidR="00691ED8" w:rsidRDefault="00691ED8" w:rsidP="00691ED8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</w:p>
          <w:p w14:paraId="546F5427" w14:textId="353CA475" w:rsidR="00691ED8" w:rsidRDefault="00691ED8" w:rsidP="00691ED8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</w:p>
          <w:p w14:paraId="727DFB83" w14:textId="77777777" w:rsidR="00691ED8" w:rsidRDefault="00691ED8" w:rsidP="00691ED8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</w:p>
          <w:p w14:paraId="40C7E720" w14:textId="1203A633" w:rsidR="006F3EAB" w:rsidRDefault="006F3EAB" w:rsidP="00DC49CB">
            <w:pPr>
              <w:pStyle w:val="CommentText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DC49CB">
              <w:rPr>
                <w:sz w:val="24"/>
                <w:szCs w:val="24"/>
                <w:lang w:val="bg-BG"/>
              </w:rPr>
              <w:t>Проектиране и изграждане на пътна връзка на гр. Кермен  с достъп до АМ Тракия</w:t>
            </w:r>
          </w:p>
          <w:p w14:paraId="310BAA6D" w14:textId="2795DE68" w:rsidR="00A963F3" w:rsidRDefault="00A963F3" w:rsidP="00A963F3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</w:p>
          <w:p w14:paraId="3B820835" w14:textId="77777777" w:rsidR="00A963F3" w:rsidRDefault="00A963F3" w:rsidP="00A963F3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</w:p>
          <w:p w14:paraId="78224F14" w14:textId="68DB5139" w:rsidR="006F3EAB" w:rsidRPr="00DC49CB" w:rsidRDefault="006F3EAB" w:rsidP="00DC49CB">
            <w:pPr>
              <w:pStyle w:val="CommentText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DC49CB">
              <w:rPr>
                <w:sz w:val="24"/>
                <w:szCs w:val="24"/>
                <w:lang w:val="bg-BG"/>
              </w:rPr>
              <w:t>Модернизация на железопътната линия Казанлък – Сливен - Зимница</w:t>
            </w:r>
          </w:p>
        </w:tc>
        <w:tc>
          <w:tcPr>
            <w:tcW w:w="1893" w:type="dxa"/>
          </w:tcPr>
          <w:p w14:paraId="799F00A7" w14:textId="77777777" w:rsidR="006F3EAB" w:rsidRDefault="009E239B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се за сведение.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ADFE4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65107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94B0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7BB2B" w14:textId="46FE514F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се за сведение. </w:t>
            </w:r>
          </w:p>
          <w:p w14:paraId="3E1B6928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5E4F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B8A7A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91FF2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се приема. </w:t>
            </w:r>
          </w:p>
          <w:p w14:paraId="5786C63F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0EC46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D4A7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F9C3F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D8970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961FE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C7A7F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2DF49" w14:textId="77777777" w:rsidR="00691ED8" w:rsidRDefault="00691ED8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се приема. </w:t>
            </w:r>
          </w:p>
          <w:p w14:paraId="55245775" w14:textId="77777777" w:rsidR="00A963F3" w:rsidRDefault="00A963F3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F921" w14:textId="77777777" w:rsidR="00A963F3" w:rsidRDefault="00A963F3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09759" w14:textId="77777777" w:rsidR="00A963F3" w:rsidRDefault="00A963F3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7250D" w14:textId="4C026446" w:rsidR="00A963F3" w:rsidRPr="00F13BDE" w:rsidRDefault="00A963F3" w:rsidP="00E63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се приема. </w:t>
            </w:r>
          </w:p>
        </w:tc>
        <w:tc>
          <w:tcPr>
            <w:tcW w:w="4001" w:type="dxa"/>
          </w:tcPr>
          <w:p w14:paraId="4BB972F9" w14:textId="77777777" w:rsidR="006F3EAB" w:rsidRDefault="00014139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Функционалните зони са определени с текстовете на Актуализираната Национална стратегия за пространствено развитие. </w:t>
            </w:r>
          </w:p>
          <w:p w14:paraId="5B015164" w14:textId="77777777" w:rsidR="00691ED8" w:rsidRDefault="00691ED8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A9D73" w14:textId="438C64E9" w:rsidR="00691ED8" w:rsidRDefault="00691ED8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Отразено е в Цел 1.1.2. </w:t>
            </w:r>
          </w:p>
          <w:p w14:paraId="7D3FBE1B" w14:textId="77777777" w:rsidR="00691ED8" w:rsidRDefault="00691ED8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FA68" w14:textId="77777777" w:rsidR="00691ED8" w:rsidRDefault="00691ED8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D796" w14:textId="77777777" w:rsidR="00691ED8" w:rsidRDefault="00691ED8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7F85E" w14:textId="77777777" w:rsidR="00691ED8" w:rsidRDefault="00691ED8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9507" w14:textId="77777777" w:rsidR="00691ED8" w:rsidRDefault="00691ED8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D8">
              <w:rPr>
                <w:rFonts w:ascii="Times New Roman" w:hAnsi="Times New Roman" w:cs="Times New Roman"/>
                <w:sz w:val="24"/>
                <w:szCs w:val="24"/>
              </w:rPr>
              <w:t>Проектиране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691ED8">
              <w:rPr>
                <w:rFonts w:ascii="Times New Roman" w:hAnsi="Times New Roman" w:cs="Times New Roman"/>
                <w:sz w:val="24"/>
                <w:szCs w:val="24"/>
              </w:rPr>
              <w:t xml:space="preserve"> и изграждане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691ED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инфраструктура от градската среда и обслужващата сфера на територията на бивши военни поделения на територията на град Сливен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разглежда като елемент на ИПГВР, ОУП на град Сливен и ПИРО. </w:t>
            </w:r>
          </w:p>
          <w:p w14:paraId="518AEF4E" w14:textId="77777777" w:rsidR="006A667C" w:rsidRDefault="006A667C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A87FE" w14:textId="77777777" w:rsidR="006A667C" w:rsidRDefault="00A963F3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попада в п</w:t>
            </w:r>
            <w:r w:rsidRPr="00A963F3">
              <w:rPr>
                <w:rFonts w:ascii="Times New Roman" w:hAnsi="Times New Roman" w:cs="Times New Roman"/>
                <w:sz w:val="24"/>
                <w:szCs w:val="24"/>
              </w:rPr>
              <w:t>риоритетните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писъци с пътни обекти, </w:t>
            </w:r>
            <w:r w:rsidRPr="00A963F3">
              <w:rPr>
                <w:rFonts w:ascii="Times New Roman" w:hAnsi="Times New Roman" w:cs="Times New Roman"/>
                <w:sz w:val="24"/>
                <w:szCs w:val="24"/>
              </w:rPr>
              <w:t>предоставени от Агенция „Пътна инфраструктура“.</w:t>
            </w:r>
          </w:p>
          <w:p w14:paraId="4145DB9E" w14:textId="77777777" w:rsidR="00A963F3" w:rsidRDefault="00A963F3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09A7D" w14:textId="7184F882" w:rsidR="00A963F3" w:rsidRPr="00F13BDE" w:rsidRDefault="00854BC3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Железопътните обекти са подадени от компетентното ведомство МТС.</w:t>
            </w:r>
            <w:r w:rsidR="00A96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EAB" w:rsidRPr="00F13BDE" w14:paraId="14CE722A" w14:textId="77777777" w:rsidTr="0014132D">
        <w:trPr>
          <w:trHeight w:val="303"/>
        </w:trPr>
        <w:tc>
          <w:tcPr>
            <w:tcW w:w="516" w:type="dxa"/>
            <w:vMerge/>
          </w:tcPr>
          <w:p w14:paraId="42E9C7F4" w14:textId="66A0635C" w:rsidR="006F3EAB" w:rsidRPr="00F13BDE" w:rsidRDefault="006F3EAB" w:rsidP="00B53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1DA8A0F4" w14:textId="4A7787C5" w:rsidR="006F3EAB" w:rsidRPr="00F13BDE" w:rsidRDefault="006F3EAB" w:rsidP="00B53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257ABFBC" w14:textId="4271DC4F" w:rsidR="006F3EAB" w:rsidRPr="00DC49CB" w:rsidRDefault="006F3EAB" w:rsidP="00DC49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CB">
              <w:rPr>
                <w:rFonts w:ascii="Times New Roman" w:hAnsi="Times New Roman" w:cs="Times New Roman"/>
                <w:sz w:val="24"/>
                <w:szCs w:val="24"/>
              </w:rPr>
              <w:t>На стр. 146 от ИТСР към: „Цел 1.1.3. Подобряване на условията за бизнес, който да подкрепи навлизането на местни и чуждестранни компании“</w:t>
            </w:r>
          </w:p>
          <w:p w14:paraId="711A665C" w14:textId="77777777" w:rsidR="006F3EAB" w:rsidRPr="00DC49CB" w:rsidRDefault="006F3EAB" w:rsidP="00DC49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CB">
              <w:rPr>
                <w:rFonts w:ascii="Times New Roman" w:hAnsi="Times New Roman" w:cs="Times New Roman"/>
                <w:sz w:val="24"/>
                <w:szCs w:val="24"/>
              </w:rPr>
              <w:t xml:space="preserve">Да се допълни проект: </w:t>
            </w:r>
          </w:p>
          <w:p w14:paraId="1CD5DA2D" w14:textId="0DCEF68D" w:rsidR="006F3EAB" w:rsidRPr="00DC49CB" w:rsidRDefault="006F3EAB" w:rsidP="00DC49C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9CB">
              <w:rPr>
                <w:rFonts w:ascii="Times New Roman" w:hAnsi="Times New Roman"/>
                <w:sz w:val="24"/>
                <w:szCs w:val="24"/>
              </w:rPr>
              <w:t>Проектиране и изграждане на Индустриален парк/зона „Бършен“</w:t>
            </w:r>
            <w:r w:rsidR="00527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9CB">
              <w:rPr>
                <w:rFonts w:ascii="Times New Roman" w:hAnsi="Times New Roman"/>
                <w:sz w:val="24"/>
                <w:szCs w:val="24"/>
              </w:rPr>
              <w:t>(Източна Тракия) – гр.</w:t>
            </w:r>
            <w:r w:rsidR="00527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9CB">
              <w:rPr>
                <w:rFonts w:ascii="Times New Roman" w:hAnsi="Times New Roman"/>
                <w:sz w:val="24"/>
                <w:szCs w:val="24"/>
              </w:rPr>
              <w:t xml:space="preserve">Сливен, част от инвестиционна дестинация/зона Сливен - Ямбол </w:t>
            </w:r>
          </w:p>
          <w:p w14:paraId="531FA279" w14:textId="05B5D138" w:rsidR="006F3EAB" w:rsidRPr="00DC49CB" w:rsidRDefault="006F3EAB" w:rsidP="00DC49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CB">
              <w:rPr>
                <w:rFonts w:ascii="Times New Roman" w:hAnsi="Times New Roman" w:cs="Times New Roman"/>
                <w:sz w:val="24"/>
                <w:szCs w:val="24"/>
              </w:rPr>
              <w:t>Основание: Намерението на община Сливен за изграждане на индустриален парк/зона е обективирано в сключените Меморандум за сътрудничество с Българска агенция за инвестиции през 2018 г. и Меморандум за сътрудничество с „Национална компания Индустриални зони“ ЕАД през 2019 г. През 2019 г. Между Общините Сливен, Ямбол и Тунджа е изготвен общ инвестиционен профил и бизнес каталог „Инвестиционна дестинация Сливен-Ямбол“ (https://mun.sliven.bg/invest ), а през 2021 г. е сключено споразумение за партньорство и сътрудничество през нов</w:t>
            </w:r>
            <w:r w:rsidR="00134039">
              <w:rPr>
                <w:rFonts w:ascii="Times New Roman" w:hAnsi="Times New Roman" w:cs="Times New Roman"/>
                <w:sz w:val="24"/>
                <w:szCs w:val="24"/>
              </w:rPr>
              <w:t>ия програмен период 2021-</w:t>
            </w:r>
            <w:r w:rsidR="00134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2027г.</w:t>
            </w:r>
            <w:r w:rsidRPr="00DC49CB">
              <w:rPr>
                <w:rFonts w:ascii="Times New Roman" w:hAnsi="Times New Roman" w:cs="Times New Roman"/>
                <w:sz w:val="24"/>
                <w:szCs w:val="24"/>
              </w:rPr>
              <w:t xml:space="preserve"> В споразумението участват и Областните управи на Сливен и Ямбол. Общия брой на населението на 45 мин. от индустриалните зони на територията на дестинацията е 332 000 души. Това е подобно описано и като приоритет в новия План за развитие на общината - ПИРО Сливен 2021-2027. Общата площ на парка/зоната, за който има изготвен и влязъл в сила Подробен устройствен план (ПУП), с отреждане за промишленост и икономически дейности  е 2 643 дка. Цялата територия е урбанизирана и има акт за общинска собственост.</w:t>
            </w:r>
          </w:p>
          <w:p w14:paraId="73AE8367" w14:textId="7FA8E9A6" w:rsidR="006F3EAB" w:rsidRPr="00DC49CB" w:rsidRDefault="006F3EAB" w:rsidP="00DC49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CB">
              <w:rPr>
                <w:rFonts w:ascii="Times New Roman" w:hAnsi="Times New Roman" w:cs="Times New Roman"/>
                <w:sz w:val="24"/>
                <w:szCs w:val="24"/>
              </w:rPr>
              <w:t>Наличието на инфраструктурно осигурен индустриален парк/зона/ е предпоставка за привличане на стратегически инвеститори на територията на общината и региона, което ще доведе до създаване на нови работни места, повишение на доходите на хората, задържане и приток на специалисти, капитали и услуги, с което ще се подобри демографската ситуация на общината и Югоизточен Район и превръщането им в по-привлекателно място за живот и ще се създадат предпоставки за трайна положителна тенденция на намаляване на дисбаланса в регионалното икономическо развитие.</w:t>
            </w:r>
          </w:p>
        </w:tc>
        <w:tc>
          <w:tcPr>
            <w:tcW w:w="1893" w:type="dxa"/>
          </w:tcPr>
          <w:p w14:paraId="2D2739DE" w14:textId="233254CA" w:rsidR="006F3EAB" w:rsidRPr="00F13BDE" w:rsidRDefault="00134039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Приема се. </w:t>
            </w:r>
          </w:p>
        </w:tc>
        <w:tc>
          <w:tcPr>
            <w:tcW w:w="4001" w:type="dxa"/>
          </w:tcPr>
          <w:p w14:paraId="08F40773" w14:textId="4E122860" w:rsidR="006F3EAB" w:rsidRPr="00F13BDE" w:rsidRDefault="00F91502" w:rsidP="00B53C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0">
              <w:rPr>
                <w:rFonts w:ascii="Times New Roman" w:hAnsi="Times New Roman" w:cs="Times New Roman"/>
                <w:sz w:val="24"/>
                <w:szCs w:val="24"/>
              </w:rPr>
              <w:t>Текстът ще бъде допълнен.</w:t>
            </w:r>
          </w:p>
        </w:tc>
      </w:tr>
      <w:tr w:rsidR="006F3EAB" w:rsidRPr="00F13BDE" w14:paraId="70950839" w14:textId="77777777" w:rsidTr="0014132D">
        <w:trPr>
          <w:trHeight w:val="303"/>
        </w:trPr>
        <w:tc>
          <w:tcPr>
            <w:tcW w:w="516" w:type="dxa"/>
            <w:vMerge/>
          </w:tcPr>
          <w:p w14:paraId="4EFE6F40" w14:textId="08231C93" w:rsidR="006F3EAB" w:rsidRPr="00F13BDE" w:rsidRDefault="006F3EAB" w:rsidP="00B53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11FEDAB8" w14:textId="4613FECF" w:rsidR="006F3EAB" w:rsidRPr="00F13BDE" w:rsidRDefault="006F3EAB" w:rsidP="001F2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7D6630FE" w14:textId="5A860798" w:rsidR="006F3EAB" w:rsidRPr="00DC49CB" w:rsidRDefault="006F3EAB" w:rsidP="00DC49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стр. 149 от ИТСР към „Цел</w:t>
            </w:r>
            <w:r w:rsidRPr="00DC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Висше</w:t>
            </w:r>
            <w:r w:rsidRPr="00DC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образование“</w:t>
            </w:r>
          </w:p>
          <w:p w14:paraId="54727A1B" w14:textId="77777777" w:rsidR="006F3EAB" w:rsidRPr="00DC49CB" w:rsidRDefault="006F3EAB" w:rsidP="00DC49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се включат към: </w:t>
            </w:r>
          </w:p>
          <w:p w14:paraId="46C34522" w14:textId="77777777" w:rsidR="006F3EAB" w:rsidRPr="00DC49CB" w:rsidRDefault="006F3EAB" w:rsidP="00DC49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Проектите в областта на висшето образование включват:</w:t>
            </w:r>
          </w:p>
          <w:p w14:paraId="4C4015B3" w14:textId="62B350C3" w:rsidR="006F3EAB" w:rsidRPr="00DC49CB" w:rsidRDefault="006F3EAB" w:rsidP="00DC49C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CB">
              <w:rPr>
                <w:rFonts w:ascii="Times New Roman" w:eastAsia="Times New Roman" w:hAnsi="Times New Roman"/>
                <w:sz w:val="24"/>
                <w:szCs w:val="24"/>
              </w:rPr>
              <w:t xml:space="preserve">обновяване и разширяване на учебно-материалната база в гр. Сливен към Филиала на МУ Варна, за осигуряване на модерно обучение </w:t>
            </w:r>
            <w:r w:rsidRPr="00DC49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 световно ниво с цел привличане и на чуждестранни студенти; </w:t>
            </w:r>
          </w:p>
          <w:p w14:paraId="3D55C34A" w14:textId="5E506381" w:rsidR="006F3EAB" w:rsidRPr="00DC49CB" w:rsidRDefault="006F3EAB" w:rsidP="00DC49C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CB">
              <w:rPr>
                <w:rFonts w:ascii="Times New Roman" w:eastAsia="Times New Roman" w:hAnsi="Times New Roman"/>
                <w:sz w:val="24"/>
                <w:szCs w:val="24"/>
              </w:rPr>
              <w:t>обновяване и разширяване на учебно-материалната база и студентски общежития на  ТУ София – филиал Сливен и Колежа към него;</w:t>
            </w:r>
          </w:p>
        </w:tc>
        <w:tc>
          <w:tcPr>
            <w:tcW w:w="1893" w:type="dxa"/>
          </w:tcPr>
          <w:p w14:paraId="3E8969E2" w14:textId="56184305" w:rsidR="006F3EAB" w:rsidRPr="00A963F3" w:rsidRDefault="0026560C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се приема. </w:t>
            </w:r>
          </w:p>
        </w:tc>
        <w:tc>
          <w:tcPr>
            <w:tcW w:w="4001" w:type="dxa"/>
          </w:tcPr>
          <w:p w14:paraId="0D2F7480" w14:textId="32B0D7FD" w:rsidR="0026560C" w:rsidRPr="00A963F3" w:rsidRDefault="000629A7" w:rsidP="0021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F3">
              <w:rPr>
                <w:rFonts w:ascii="Times New Roman" w:hAnsi="Times New Roman" w:cs="Times New Roman"/>
                <w:sz w:val="24"/>
                <w:szCs w:val="24"/>
              </w:rPr>
              <w:t xml:space="preserve">Подобряване </w:t>
            </w:r>
            <w:r w:rsidR="00883E71" w:rsidRPr="00A963F3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инфраструктурата на висшето образование е идентифициран проект в Цел 2.1.3 </w:t>
            </w:r>
            <w:r w:rsidRPr="00A963F3">
              <w:rPr>
                <w:rFonts w:ascii="Times New Roman" w:hAnsi="Times New Roman" w:cs="Times New Roman"/>
                <w:sz w:val="24"/>
                <w:szCs w:val="24"/>
              </w:rPr>
              <w:t>„Висше образование“</w:t>
            </w:r>
            <w:r w:rsidR="0021007B" w:rsidRPr="00A963F3">
              <w:rPr>
                <w:rFonts w:ascii="Times New Roman" w:hAnsi="Times New Roman" w:cs="Times New Roman"/>
                <w:sz w:val="24"/>
                <w:szCs w:val="24"/>
              </w:rPr>
              <w:t xml:space="preserve"> и същият</w:t>
            </w:r>
            <w:r w:rsidRPr="00A96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C17" w:rsidRPr="00A963F3">
              <w:rPr>
                <w:rFonts w:ascii="Times New Roman" w:hAnsi="Times New Roman" w:cs="Times New Roman"/>
                <w:sz w:val="24"/>
                <w:szCs w:val="24"/>
              </w:rPr>
              <w:t xml:space="preserve">обхваща всички висши учебни заведения на територията на </w:t>
            </w:r>
            <w:r w:rsidR="00231C17" w:rsidRPr="00A96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</w:t>
            </w:r>
            <w:r w:rsidR="0009365A" w:rsidRPr="00A963F3">
              <w:rPr>
                <w:rFonts w:ascii="Times New Roman" w:hAnsi="Times New Roman" w:cs="Times New Roman"/>
                <w:sz w:val="24"/>
                <w:szCs w:val="24"/>
              </w:rPr>
              <w:t xml:space="preserve">, без необходимост от посочване на конкретни обекти. </w:t>
            </w:r>
          </w:p>
        </w:tc>
      </w:tr>
      <w:tr w:rsidR="006F3EAB" w:rsidRPr="00F13BDE" w14:paraId="7BD87B7D" w14:textId="77777777" w:rsidTr="0014132D">
        <w:trPr>
          <w:trHeight w:val="303"/>
        </w:trPr>
        <w:tc>
          <w:tcPr>
            <w:tcW w:w="516" w:type="dxa"/>
            <w:vMerge/>
          </w:tcPr>
          <w:p w14:paraId="7793486B" w14:textId="77777777" w:rsidR="006F3EAB" w:rsidRPr="00F13BDE" w:rsidRDefault="006F3EAB" w:rsidP="00B53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684E27B5" w14:textId="77777777" w:rsidR="006F3EAB" w:rsidRPr="00F13BDE" w:rsidRDefault="006F3EAB" w:rsidP="001F2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2F1A1846" w14:textId="7B0E6D83" w:rsidR="006F3EAB" w:rsidRPr="00DC49CB" w:rsidRDefault="006F3EAB" w:rsidP="00DC49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стр. 153 от ИТСР към „Цел </w:t>
            </w:r>
            <w:r w:rsidRPr="00DC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49CB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одобрена транспортна свързаност и достъпност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14:paraId="1722018F" w14:textId="77777777" w:rsidR="006F3EAB" w:rsidRPr="00DC49CB" w:rsidRDefault="006F3EAB" w:rsidP="00DC49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CB">
              <w:rPr>
                <w:rFonts w:ascii="Times New Roman" w:eastAsia="Times New Roman" w:hAnsi="Times New Roman" w:cs="Times New Roman"/>
                <w:sz w:val="24"/>
                <w:szCs w:val="24"/>
              </w:rPr>
              <w:t>Да се допълнят следните проекти:</w:t>
            </w:r>
          </w:p>
          <w:p w14:paraId="0EA29369" w14:textId="453FB8B1" w:rsidR="006F3EAB" w:rsidRDefault="006F3EAB" w:rsidP="00DC49C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CB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Проектиране и изграждане на четирилентов път Сливен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C49CB">
              <w:rPr>
                <w:rFonts w:ascii="Times New Roman" w:eastAsia="Times New Roman" w:hAnsi="Times New Roman"/>
                <w:sz w:val="24"/>
                <w:szCs w:val="24"/>
              </w:rPr>
              <w:t xml:space="preserve"> Ямбол</w:t>
            </w:r>
            <w:r w:rsidR="00846A4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89D47F3" w14:textId="2CCBEDBE" w:rsidR="00A963F3" w:rsidRDefault="00A963F3" w:rsidP="00A963F3">
            <w:pPr>
              <w:pStyle w:val="ListParagraph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6C6E0A" w14:textId="4FCB7949" w:rsidR="00A963F3" w:rsidRDefault="00A963F3" w:rsidP="00A963F3">
            <w:pPr>
              <w:pStyle w:val="ListParagraph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F8D683" w14:textId="7D706807" w:rsidR="00006FE2" w:rsidRDefault="00006FE2" w:rsidP="00A963F3">
            <w:pPr>
              <w:pStyle w:val="ListParagraph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53DD10" w14:textId="77777777" w:rsidR="00006FE2" w:rsidRPr="00DC49CB" w:rsidRDefault="00006FE2" w:rsidP="00A963F3">
            <w:pPr>
              <w:pStyle w:val="ListParagraph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FDC910" w14:textId="31ED8C75" w:rsidR="006F3EAB" w:rsidRDefault="006F3EAB" w:rsidP="00DC49C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CB">
              <w:rPr>
                <w:rFonts w:ascii="Times New Roman" w:eastAsia="Times New Roman" w:hAnsi="Times New Roman"/>
                <w:sz w:val="24"/>
                <w:szCs w:val="24"/>
              </w:rPr>
              <w:t>Проектиране и изграждане на пътна връзка на гр. Кермен  с достъп до АМ Тракия на път /III-555/-Кермен-Граница,общ.(Сливен-Тунджа)-Гълъбинци-Межда-Скалица,/III-6601/ (Интегрирана инвестиция касаеща развитието на транспорта, туризма и икономиката за общините Сливен, Ямбол, Тунджа, Нова Загора и Тополовград)</w:t>
            </w:r>
            <w:r w:rsidR="00846A4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DB43CFA" w14:textId="77777777" w:rsidR="00A963F3" w:rsidRPr="00A963F3" w:rsidRDefault="00A963F3" w:rsidP="00A963F3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3231FC" w14:textId="77777777" w:rsidR="00A963F3" w:rsidRPr="00DC49CB" w:rsidRDefault="00A963F3" w:rsidP="00A963F3">
            <w:pPr>
              <w:pStyle w:val="ListParagraph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0B43F7" w14:textId="31FF365D" w:rsidR="006F3EAB" w:rsidRDefault="006F3EAB" w:rsidP="00DC49C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CB">
              <w:rPr>
                <w:rFonts w:ascii="Times New Roman" w:eastAsia="Times New Roman" w:hAnsi="Times New Roman"/>
                <w:sz w:val="24"/>
                <w:szCs w:val="24"/>
              </w:rPr>
              <w:t xml:space="preserve">Рехабилитация на пътна връзка път /II-53,Сливен-Ямбол/-Граница общ.(Ямбол-Тунджа)-Кабиле-Граница общ.(Тунджа-Сливен)-Желю войвода-/III-5305/(Интегрирана </w:t>
            </w:r>
            <w:r w:rsidRPr="00DC49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инвестиция касаеща развитието на туризма, икономиката транспорта за общините Сливен, Ямбол и Тунджа)</w:t>
            </w:r>
            <w:r w:rsidR="00846A4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14914E4" w14:textId="26D56D3F" w:rsidR="006F3EAB" w:rsidRDefault="006F3EAB" w:rsidP="00DC49C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CB">
              <w:rPr>
                <w:rFonts w:ascii="Times New Roman" w:eastAsia="Times New Roman" w:hAnsi="Times New Roman"/>
                <w:sz w:val="24"/>
                <w:szCs w:val="24"/>
              </w:rPr>
              <w:t>Проектиране, рехабилитация и доизграждане на пътна връзка /III-555,Кермен-Ямбол/ Бозаджии - Безмер-летище Безмер (Интегрирана инвестиция касаеща развитието на транспорта и икономиката за общините Сливен, Ямбол и Тунджа)</w:t>
            </w:r>
            <w:r w:rsidR="00846A4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95627E4" w14:textId="64CCCD18" w:rsidR="006F3EAB" w:rsidRPr="00DC49CB" w:rsidRDefault="006F3EAB" w:rsidP="00DC49C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CB">
              <w:rPr>
                <w:rFonts w:ascii="Times New Roman" w:eastAsia="Times New Roman" w:hAnsi="Times New Roman"/>
                <w:sz w:val="24"/>
                <w:szCs w:val="24"/>
              </w:rPr>
              <w:t>Проектиране и изграждане на пътен възел на ул. „Самуиловско шосе“ с достъп на „Индустриална зона Сливен – Юг до подбалканския републикански път или Е871. (Интегрирана инвестиция касаеща развитието на икономиката и транспорта за общините Сливен, Ямбол и Тунджа)</w:t>
            </w:r>
            <w:r w:rsidR="00846A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14:paraId="0C4D1B8C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FA6B6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5907D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5A64" w14:textId="77777777" w:rsidR="00006FE2" w:rsidRDefault="00006FE2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D7C11" w14:textId="0DE37244" w:rsidR="006F3EAB" w:rsidRDefault="00126BE1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се частично. </w:t>
            </w:r>
          </w:p>
          <w:p w14:paraId="075722F3" w14:textId="28C62B35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46539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B8853" w14:textId="77777777" w:rsidR="00006FE2" w:rsidRDefault="00006FE2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4371" w14:textId="77777777" w:rsidR="00006FE2" w:rsidRDefault="00006FE2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68AA" w14:textId="77777777" w:rsidR="00006FE2" w:rsidRDefault="00006FE2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AED4" w14:textId="652B3FBF" w:rsidR="00A963F3" w:rsidRPr="00690C90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Не се приема.</w:t>
            </w:r>
          </w:p>
          <w:p w14:paraId="1B37E550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A5156B3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AC80BD9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3F8F352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26DF5A8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D01F43B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A871728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887F8BB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9026110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908C75F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9452734" w14:textId="3D08EDBD" w:rsidR="00A963F3" w:rsidRPr="00AE5C3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Приема се.  </w:t>
            </w:r>
          </w:p>
        </w:tc>
        <w:tc>
          <w:tcPr>
            <w:tcW w:w="4001" w:type="dxa"/>
          </w:tcPr>
          <w:p w14:paraId="4A40423C" w14:textId="77777777" w:rsidR="00A963F3" w:rsidRDefault="00A963F3" w:rsidP="006F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9BDFE" w14:textId="77777777" w:rsidR="00A963F3" w:rsidRDefault="00A963F3" w:rsidP="006F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2CF66" w14:textId="77777777" w:rsidR="00A963F3" w:rsidRDefault="00A963F3" w:rsidP="006F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42602" w14:textId="77777777" w:rsidR="00A963F3" w:rsidRDefault="00A963F3" w:rsidP="006F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4D00C" w14:textId="0DC16850" w:rsidR="00006FE2" w:rsidRDefault="00A963F3" w:rsidP="00006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ИТСР фигурира като обект, </w:t>
            </w:r>
            <w:r w:rsidR="00006FE2">
              <w:rPr>
                <w:rFonts w:ascii="Times New Roman" w:hAnsi="Times New Roman" w:cs="Times New Roman"/>
                <w:sz w:val="24"/>
                <w:szCs w:val="24"/>
              </w:rPr>
              <w:t>но не попада в п</w:t>
            </w:r>
            <w:r w:rsidR="00006FE2" w:rsidRPr="00A963F3">
              <w:rPr>
                <w:rFonts w:ascii="Times New Roman" w:hAnsi="Times New Roman" w:cs="Times New Roman"/>
                <w:sz w:val="24"/>
                <w:szCs w:val="24"/>
              </w:rPr>
              <w:t>риоритетните с</w:t>
            </w:r>
            <w:r w:rsidR="00006FE2">
              <w:rPr>
                <w:rFonts w:ascii="Times New Roman" w:hAnsi="Times New Roman" w:cs="Times New Roman"/>
                <w:sz w:val="24"/>
                <w:szCs w:val="24"/>
              </w:rPr>
              <w:t xml:space="preserve">писъци с пътни обекти, </w:t>
            </w:r>
            <w:r w:rsidR="00006FE2" w:rsidRPr="00A963F3">
              <w:rPr>
                <w:rFonts w:ascii="Times New Roman" w:hAnsi="Times New Roman" w:cs="Times New Roman"/>
                <w:sz w:val="24"/>
                <w:szCs w:val="24"/>
              </w:rPr>
              <w:t>предоставени от Агенция „Пътна инфраструктура“.</w:t>
            </w:r>
          </w:p>
          <w:p w14:paraId="566F3447" w14:textId="05B30649" w:rsidR="00126BE1" w:rsidRDefault="00126BE1" w:rsidP="006F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6A90F" w14:textId="426065B6" w:rsidR="004C2094" w:rsidRDefault="004C2094" w:rsidP="006F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F5330" w14:textId="77777777" w:rsidR="00690C90" w:rsidRDefault="00690C90" w:rsidP="00690C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попада в п</w:t>
            </w:r>
            <w:r w:rsidRPr="00A963F3">
              <w:rPr>
                <w:rFonts w:ascii="Times New Roman" w:hAnsi="Times New Roman" w:cs="Times New Roman"/>
                <w:sz w:val="24"/>
                <w:szCs w:val="24"/>
              </w:rPr>
              <w:t>риоритетните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писъци с пътни обекти, </w:t>
            </w:r>
            <w:r w:rsidRPr="00A963F3">
              <w:rPr>
                <w:rFonts w:ascii="Times New Roman" w:hAnsi="Times New Roman" w:cs="Times New Roman"/>
                <w:sz w:val="24"/>
                <w:szCs w:val="24"/>
              </w:rPr>
              <w:t>предоставени от Агенция „Пътна инфраструктура“.</w:t>
            </w:r>
          </w:p>
          <w:p w14:paraId="32863256" w14:textId="6145E5CE" w:rsidR="00A963F3" w:rsidRDefault="00A963F3" w:rsidP="004C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0480" w14:textId="504F7538" w:rsidR="00A963F3" w:rsidRDefault="00A963F3" w:rsidP="004C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0D391" w14:textId="1ED11C92" w:rsidR="00A963F3" w:rsidRDefault="00A963F3" w:rsidP="004C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1DE09" w14:textId="14EFE6AC" w:rsidR="00A963F3" w:rsidRDefault="00A963F3" w:rsidP="004C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1216F" w14:textId="591C8E11" w:rsidR="00A963F3" w:rsidRDefault="00A963F3" w:rsidP="004C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30DD9" w14:textId="39B71859" w:rsidR="00A963F3" w:rsidRDefault="00A963F3" w:rsidP="004C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DD1FE" w14:textId="38DDD7F0" w:rsidR="00A963F3" w:rsidRDefault="00A963F3" w:rsidP="004C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1E3C9" w14:textId="107C6872" w:rsidR="00A963F3" w:rsidRDefault="00A963F3" w:rsidP="004C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F8966" w14:textId="321B6252" w:rsidR="00A963F3" w:rsidRDefault="00A93C6C" w:rsidP="00A93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Идентифицирана е възможност за редактиране и допълване на текста, като се добави „републиканска пътна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мрежа/при финансови възможности“.  </w:t>
            </w:r>
          </w:p>
          <w:p w14:paraId="47AF57E6" w14:textId="77777777" w:rsidR="00A963F3" w:rsidRDefault="00A963F3" w:rsidP="004C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6039F" w14:textId="77777777" w:rsidR="00126BE1" w:rsidRDefault="00126BE1" w:rsidP="006F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DB369" w14:textId="6FD51BCE" w:rsidR="006F3EAB" w:rsidRPr="00AE5C33" w:rsidRDefault="006F3EAB" w:rsidP="006F7C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F3EAB" w:rsidRPr="00F13BDE" w14:paraId="1F063A81" w14:textId="77777777" w:rsidTr="0014132D">
        <w:trPr>
          <w:trHeight w:val="303"/>
        </w:trPr>
        <w:tc>
          <w:tcPr>
            <w:tcW w:w="516" w:type="dxa"/>
            <w:vMerge/>
          </w:tcPr>
          <w:p w14:paraId="4E27E4E7" w14:textId="77777777" w:rsidR="006F3EAB" w:rsidRPr="00F13BDE" w:rsidRDefault="006F3EAB" w:rsidP="00B53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6B85422A" w14:textId="77777777" w:rsidR="006F3EAB" w:rsidRPr="00F13BDE" w:rsidRDefault="006F3EAB" w:rsidP="001F2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7301E87C" w14:textId="676B1E5F" w:rsidR="006F3EAB" w:rsidRDefault="006F3EAB" w:rsidP="006F3E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стр. 168 от ИТСР към „</w:t>
            </w:r>
            <w:r w:rsidRPr="006F3EA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45: Приоритетни обекти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3EAB">
              <w:rPr>
                <w:rFonts w:ascii="Times New Roman" w:eastAsia="Times New Roman" w:hAnsi="Times New Roman" w:cs="Times New Roman"/>
                <w:sz w:val="24"/>
                <w:szCs w:val="24"/>
              </w:rPr>
              <w:t>Пътища Специфична цел 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14:paraId="137909B1" w14:textId="77777777" w:rsidR="00A963F3" w:rsidRPr="006F3EAB" w:rsidRDefault="00A963F3" w:rsidP="006F3E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0DA7A" w14:textId="77777777" w:rsidR="006F3EAB" w:rsidRPr="006F3EAB" w:rsidRDefault="006F3EAB" w:rsidP="006F3E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eastAsia="Times New Roman" w:hAnsi="Times New Roman" w:cs="Times New Roman"/>
                <w:sz w:val="24"/>
                <w:szCs w:val="24"/>
              </w:rPr>
              <w:t>Да се включат:</w:t>
            </w:r>
          </w:p>
          <w:p w14:paraId="008BD74B" w14:textId="58239E32" w:rsidR="006F3EAB" w:rsidRDefault="006F3EAB" w:rsidP="006F3EA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EAB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проектиране и изграждане на четирилентов скоростен път Сливен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6F3EAB">
              <w:rPr>
                <w:rFonts w:ascii="Times New Roman" w:eastAsia="Times New Roman" w:hAnsi="Times New Roman"/>
                <w:sz w:val="24"/>
                <w:szCs w:val="24"/>
              </w:rPr>
              <w:t xml:space="preserve"> Ямбол</w:t>
            </w:r>
            <w:r w:rsidR="00846A4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978D468" w14:textId="5F5DD8BA" w:rsidR="00A963F3" w:rsidRDefault="00A963F3" w:rsidP="00A963F3">
            <w:pPr>
              <w:pStyle w:val="ListParagraph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503FB9" w14:textId="77777777" w:rsidR="0076381D" w:rsidRDefault="0076381D" w:rsidP="00A963F3">
            <w:pPr>
              <w:pStyle w:val="ListParagraph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E525F7" w14:textId="77777777" w:rsidR="00A963F3" w:rsidRDefault="00A963F3" w:rsidP="00A963F3">
            <w:pPr>
              <w:pStyle w:val="ListParagraph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B2F5EA" w14:textId="3188C0EF" w:rsidR="006F3EAB" w:rsidRPr="006F3EAB" w:rsidRDefault="006F3EAB" w:rsidP="006F3EA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EAB">
              <w:rPr>
                <w:rFonts w:ascii="Times New Roman" w:eastAsia="Times New Roman" w:hAnsi="Times New Roman"/>
                <w:sz w:val="24"/>
                <w:szCs w:val="24"/>
              </w:rPr>
              <w:t>проектиране и изграждане на пътна връзка на гр. Кермен  с достъп до АМ Тракия</w:t>
            </w:r>
            <w:r w:rsidR="00846A4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0938340" w14:textId="77777777" w:rsidR="0076381D" w:rsidRDefault="0076381D" w:rsidP="006F3E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227E4" w14:textId="77777777" w:rsidR="0076381D" w:rsidRDefault="0076381D" w:rsidP="006F3E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9628A" w14:textId="77777777" w:rsidR="0076381D" w:rsidRDefault="0076381D" w:rsidP="006F3E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ADA99" w14:textId="12211E70" w:rsidR="006F3EAB" w:rsidRDefault="006F3EAB" w:rsidP="006F3E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Специфична цел 1.1 да се включи:</w:t>
            </w:r>
          </w:p>
          <w:p w14:paraId="724833B3" w14:textId="665E60FF" w:rsidR="006F3EAB" w:rsidRPr="006F3EAB" w:rsidRDefault="006F3EAB" w:rsidP="006F3EA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EAB">
              <w:rPr>
                <w:rFonts w:ascii="Times New Roman" w:eastAsia="Times New Roman" w:hAnsi="Times New Roman"/>
                <w:sz w:val="24"/>
                <w:szCs w:val="24"/>
              </w:rPr>
              <w:t>Проектиране и изграждане на Индустриален парк/зона „Бършен“(Източна Тракия) – гр.</w:t>
            </w:r>
            <w:r w:rsidR="008630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F3EAB">
              <w:rPr>
                <w:rFonts w:ascii="Times New Roman" w:eastAsia="Times New Roman" w:hAnsi="Times New Roman"/>
                <w:sz w:val="24"/>
                <w:szCs w:val="24"/>
              </w:rPr>
              <w:t>Сливен</w:t>
            </w:r>
            <w:r w:rsidR="00846A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14:paraId="7B904C2C" w14:textId="77777777" w:rsidR="006F3EAB" w:rsidRDefault="006F3EAB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A916288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06871BB" w14:textId="25758359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7B849DA" w14:textId="73F631AB" w:rsidR="00A963F3" w:rsidRPr="00760D66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BCF5" w14:textId="77777777" w:rsidR="00A963F3" w:rsidRPr="00760D66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D66">
              <w:rPr>
                <w:rFonts w:ascii="Times New Roman" w:hAnsi="Times New Roman" w:cs="Times New Roman"/>
                <w:sz w:val="24"/>
                <w:szCs w:val="24"/>
              </w:rPr>
              <w:t>Приема се частично.</w:t>
            </w:r>
          </w:p>
          <w:p w14:paraId="18490A80" w14:textId="77777777" w:rsidR="00A963F3" w:rsidRPr="00760D66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68550" w14:textId="77777777" w:rsidR="00A963F3" w:rsidRPr="00760D66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065C" w14:textId="77777777" w:rsidR="00A963F3" w:rsidRPr="00760D66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DE6F" w14:textId="77777777" w:rsidR="0076381D" w:rsidRDefault="0076381D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BD5CF" w14:textId="648CBA7D" w:rsidR="00A963F3" w:rsidRPr="00760D66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D66">
              <w:rPr>
                <w:rFonts w:ascii="Times New Roman" w:hAnsi="Times New Roman" w:cs="Times New Roman"/>
                <w:sz w:val="24"/>
                <w:szCs w:val="24"/>
              </w:rPr>
              <w:t>Приема се частично.</w:t>
            </w:r>
          </w:p>
          <w:p w14:paraId="6F6C8C30" w14:textId="77777777" w:rsidR="00A963F3" w:rsidRPr="00760D66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035FC" w14:textId="77777777" w:rsidR="00A963F3" w:rsidRPr="00760D66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1B34D" w14:textId="77777777" w:rsidR="0076381D" w:rsidRDefault="0076381D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08DE8" w14:textId="77777777" w:rsidR="0076381D" w:rsidRDefault="0076381D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45057" w14:textId="674B7477" w:rsidR="00A963F3" w:rsidRPr="00AE5C3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0D66">
              <w:rPr>
                <w:rFonts w:ascii="Times New Roman" w:hAnsi="Times New Roman" w:cs="Times New Roman"/>
                <w:sz w:val="24"/>
                <w:szCs w:val="24"/>
              </w:rPr>
              <w:t xml:space="preserve">Приема се. </w:t>
            </w:r>
          </w:p>
        </w:tc>
        <w:tc>
          <w:tcPr>
            <w:tcW w:w="4001" w:type="dxa"/>
          </w:tcPr>
          <w:p w14:paraId="213C6D0C" w14:textId="77777777" w:rsidR="00A963F3" w:rsidRDefault="00A963F3" w:rsidP="00A9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5E60" w14:textId="77777777" w:rsidR="00A963F3" w:rsidRDefault="00A963F3" w:rsidP="00A9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AC77C" w14:textId="77777777" w:rsidR="00A963F3" w:rsidRDefault="00A963F3" w:rsidP="00A9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F76F6" w14:textId="77777777" w:rsidR="00A963F3" w:rsidRDefault="00A963F3" w:rsidP="00A9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73E4D" w14:textId="77777777" w:rsidR="0076381D" w:rsidRDefault="0076381D" w:rsidP="007638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ИТСР фигурира като обект, но не попада в п</w:t>
            </w:r>
            <w:r w:rsidRPr="00A963F3">
              <w:rPr>
                <w:rFonts w:ascii="Times New Roman" w:hAnsi="Times New Roman" w:cs="Times New Roman"/>
                <w:sz w:val="24"/>
                <w:szCs w:val="24"/>
              </w:rPr>
              <w:t>риоритетните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писъци с пътни обекти, </w:t>
            </w:r>
            <w:r w:rsidRPr="00A963F3">
              <w:rPr>
                <w:rFonts w:ascii="Times New Roman" w:hAnsi="Times New Roman" w:cs="Times New Roman"/>
                <w:sz w:val="24"/>
                <w:szCs w:val="24"/>
              </w:rPr>
              <w:t>предоставени от Агенция „Пътна инфраструктура“.</w:t>
            </w:r>
          </w:p>
          <w:p w14:paraId="782F4934" w14:textId="77777777" w:rsidR="006F3EAB" w:rsidRDefault="006F3EAB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5DB48BF" w14:textId="77777777" w:rsidR="0076381D" w:rsidRDefault="0076381D" w:rsidP="007638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ИТСР фигурира като обект, но не попада в п</w:t>
            </w:r>
            <w:r w:rsidRPr="00A963F3">
              <w:rPr>
                <w:rFonts w:ascii="Times New Roman" w:hAnsi="Times New Roman" w:cs="Times New Roman"/>
                <w:sz w:val="24"/>
                <w:szCs w:val="24"/>
              </w:rPr>
              <w:t>риоритетните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писъци с пътни обекти, </w:t>
            </w:r>
            <w:r w:rsidRPr="00A963F3">
              <w:rPr>
                <w:rFonts w:ascii="Times New Roman" w:hAnsi="Times New Roman" w:cs="Times New Roman"/>
                <w:sz w:val="24"/>
                <w:szCs w:val="24"/>
              </w:rPr>
              <w:t>предоставени от Агенция „Пътна инфраструктура“.</w:t>
            </w:r>
          </w:p>
          <w:p w14:paraId="4D526D2F" w14:textId="77777777" w:rsid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FE902" w14:textId="77777777" w:rsidR="0076381D" w:rsidRDefault="0076381D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AEC40" w14:textId="5B00DC4A" w:rsidR="00A963F3" w:rsidRPr="00A963F3" w:rsidRDefault="00A963F3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Текстът е допълнен. </w:t>
            </w:r>
          </w:p>
        </w:tc>
      </w:tr>
      <w:tr w:rsidR="006F3EAB" w:rsidRPr="00F13BDE" w14:paraId="088E014C" w14:textId="77777777" w:rsidTr="0014132D">
        <w:trPr>
          <w:trHeight w:val="303"/>
        </w:trPr>
        <w:tc>
          <w:tcPr>
            <w:tcW w:w="516" w:type="dxa"/>
            <w:vMerge/>
            <w:tcBorders>
              <w:bottom w:val="nil"/>
            </w:tcBorders>
          </w:tcPr>
          <w:p w14:paraId="07986AD9" w14:textId="77777777" w:rsidR="006F3EAB" w:rsidRPr="00F13BDE" w:rsidRDefault="006F3EAB" w:rsidP="00B53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</w:tcPr>
          <w:p w14:paraId="7D47B309" w14:textId="77777777" w:rsidR="006F3EAB" w:rsidRPr="00F13BDE" w:rsidRDefault="006F3EAB" w:rsidP="001F2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7F7B812D" w14:textId="77777777" w:rsidR="00E91528" w:rsidRPr="00E91528" w:rsidRDefault="00E91528" w:rsidP="00E9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28">
              <w:rPr>
                <w:rFonts w:ascii="Times New Roman" w:hAnsi="Times New Roman" w:cs="Times New Roman"/>
                <w:sz w:val="24"/>
                <w:szCs w:val="24"/>
              </w:rPr>
              <w:t>Във връзка с настъпили промени и необходимост от индексиране бюджетите и времето за изпълнение на проектите за обекти на територията на град Сливен е необходимо допълнение в Приложението към ИТСР да се добавят/променят следните текстове към:</w:t>
            </w:r>
          </w:p>
          <w:p w14:paraId="4017AA63" w14:textId="77777777" w:rsidR="00E91528" w:rsidRPr="00E91528" w:rsidRDefault="00E91528" w:rsidP="00E915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915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стр. 21-25 от Приложението към ИТСР:</w:t>
            </w:r>
          </w:p>
          <w:p w14:paraId="66F0685C" w14:textId="77777777" w:rsidR="00E91528" w:rsidRPr="00E91528" w:rsidRDefault="00E91528" w:rsidP="00E915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1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Таблица П 8: Приоритетни обекти за финансиране в сферата на културата </w:t>
            </w:r>
          </w:p>
          <w:p w14:paraId="2FE08DCE" w14:textId="77777777" w:rsidR="00E91528" w:rsidRPr="00E91528" w:rsidRDefault="00E91528" w:rsidP="00E915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1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 се допълнят и коригират текстовете на обектите в Община Сливен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887"/>
              <w:gridCol w:w="2887"/>
            </w:tblGrid>
            <w:tr w:rsidR="00E91528" w:rsidRPr="00E91528" w14:paraId="16011963" w14:textId="77777777" w:rsidTr="00E91528">
              <w:tc>
                <w:tcPr>
                  <w:tcW w:w="2500" w:type="pct"/>
                </w:tcPr>
                <w:p w14:paraId="54ACDF64" w14:textId="77777777" w:rsidR="00E91528" w:rsidRPr="00E91528" w:rsidRDefault="00E91528" w:rsidP="00E91528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Обект</w:t>
                  </w:r>
                </w:p>
              </w:tc>
              <w:tc>
                <w:tcPr>
                  <w:tcW w:w="2500" w:type="pct"/>
                </w:tcPr>
                <w:p w14:paraId="0702EB14" w14:textId="77777777" w:rsidR="00E91528" w:rsidRPr="00E91528" w:rsidRDefault="00E91528" w:rsidP="00E91528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Проект</w:t>
                  </w:r>
                </w:p>
              </w:tc>
            </w:tr>
            <w:tr w:rsidR="00E91528" w:rsidRPr="00E91528" w14:paraId="102D0C75" w14:textId="77777777" w:rsidTr="00E91528">
              <w:tc>
                <w:tcPr>
                  <w:tcW w:w="2500" w:type="pct"/>
                </w:tcPr>
                <w:p w14:paraId="4337AA81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Драматичен театър „Стефан Киров" - Сливен</w:t>
                  </w:r>
                </w:p>
              </w:tc>
              <w:tc>
                <w:tcPr>
                  <w:tcW w:w="2500" w:type="pct"/>
                </w:tcPr>
                <w:p w14:paraId="4994F1E7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Времеви период: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2021-2027 г. </w:t>
                  </w:r>
                </w:p>
                <w:p w14:paraId="7210F8FE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Ремонт: 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голяма зрителна зала с балкон и на камерна зала, фоайе на театъра, смяна на дограми като първа стъпка към енергийна ефективност, ремонт на фасадата на театъра, чиято разгърната площ е 14 000 кв.м. </w:t>
                  </w: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Приблизителна стойност 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- 4 500 000 лв.</w:t>
                  </w:r>
                </w:p>
              </w:tc>
            </w:tr>
            <w:tr w:rsidR="00E91528" w:rsidRPr="00E91528" w14:paraId="79DC770D" w14:textId="77777777" w:rsidTr="00E91528">
              <w:tc>
                <w:tcPr>
                  <w:tcW w:w="2500" w:type="pct"/>
                </w:tcPr>
                <w:p w14:paraId="2B439270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Регионален исторически музей – Сливен</w:t>
                  </w:r>
                </w:p>
                <w:p w14:paraId="5A55936D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</w:tcPr>
                <w:p w14:paraId="2005940B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Времеви период: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2021-2027 г. </w:t>
                  </w:r>
                </w:p>
                <w:p w14:paraId="110D1C80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Ремонт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Ремонт на покрив и фасада; въвеждане на мерки за енергийна ефективност, подмяна на електрическата инсталация; изграждане на отоплителна и охладителна инсталации, изграждане на тоалетни, достъпност на инвалиди, основен ремонт на помощни сгради/работилници и ателиета/, фондохранилище, вътрешен двор, и други СМР, както и дейности за обновяване, оборудване и обзавеждане на сгради и дворно пространство на: </w:t>
                  </w:r>
                </w:p>
                <w:p w14:paraId="3F0B1E4F" w14:textId="77777777" w:rsidR="00E91528" w:rsidRPr="00E91528" w:rsidRDefault="00E91528" w:rsidP="00E91528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Централна сграда на РИМ Сливен</w:t>
                  </w:r>
                </w:p>
                <w:p w14:paraId="2896A54D" w14:textId="77777777" w:rsidR="00E91528" w:rsidRPr="00E91528" w:rsidRDefault="00E91528" w:rsidP="00E91528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Държавна сукнена фабрика/Затвора;</w:t>
                  </w:r>
                </w:p>
                <w:p w14:paraId="36504454" w14:textId="77777777" w:rsidR="00E91528" w:rsidRPr="00E91528" w:rsidRDefault="00E91528" w:rsidP="00E91528">
                  <w:pPr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Национален музей за текстилна индустрия;</w:t>
                  </w:r>
                </w:p>
                <w:p w14:paraId="405A1DB0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Изготвяне на реплики и дигитализация на значими артефакти и открития. </w:t>
                  </w:r>
                </w:p>
                <w:p w14:paraId="5C31B43D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Приблизителна стойност: 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4 800 000 лв.</w:t>
                  </w:r>
                </w:p>
              </w:tc>
            </w:tr>
            <w:tr w:rsidR="00E91528" w:rsidRPr="00E91528" w14:paraId="58C7155C" w14:textId="77777777" w:rsidTr="00E91528">
              <w:tc>
                <w:tcPr>
                  <w:tcW w:w="2500" w:type="pct"/>
                </w:tcPr>
                <w:p w14:paraId="19D02755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Художествена галерия - Сливен</w:t>
                  </w:r>
                </w:p>
              </w:tc>
              <w:tc>
                <w:tcPr>
                  <w:tcW w:w="2500" w:type="pct"/>
                </w:tcPr>
                <w:p w14:paraId="6181BA39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Времеви период: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2021-2027 г. </w:t>
                  </w:r>
                </w:p>
                <w:p w14:paraId="48D20E73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Ремонт: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Реновиране, въвеждане на мерки за енергийна ефективност, ремонт на ВиК, отопление, вентилация, електро и охранителни инсталации на следните отделни сгради на галерията:</w:t>
                  </w:r>
                </w:p>
                <w:p w14:paraId="3D812147" w14:textId="77777777" w:rsidR="00E91528" w:rsidRPr="00E91528" w:rsidRDefault="00E91528" w:rsidP="00E91528">
                  <w:pPr>
                    <w:numPr>
                      <w:ilvl w:val="0"/>
                      <w:numId w:val="13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Галерия „Сирак Скитник“</w:t>
                  </w:r>
                </w:p>
                <w:p w14:paraId="1DE66FEB" w14:textId="77777777" w:rsidR="00E91528" w:rsidRPr="00E91528" w:rsidRDefault="00E91528" w:rsidP="00E91528">
                  <w:pPr>
                    <w:numPr>
                      <w:ilvl w:val="0"/>
                      <w:numId w:val="13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Галерия „Узунова къща“</w:t>
                  </w:r>
                </w:p>
                <w:p w14:paraId="2C605D05" w14:textId="77777777" w:rsidR="00E91528" w:rsidRPr="00E91528" w:rsidRDefault="00E91528" w:rsidP="00E91528">
                  <w:pPr>
                    <w:numPr>
                      <w:ilvl w:val="0"/>
                      <w:numId w:val="13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Галерия „Къща Миркович“</w:t>
                  </w:r>
                </w:p>
                <w:p w14:paraId="07DD49B5" w14:textId="77777777" w:rsidR="00E91528" w:rsidRPr="00E91528" w:rsidRDefault="00E91528" w:rsidP="00E91528">
                  <w:pPr>
                    <w:numPr>
                      <w:ilvl w:val="0"/>
                      <w:numId w:val="13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Фондохранилище</w:t>
                  </w:r>
                </w:p>
                <w:p w14:paraId="4F6163C5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Дигитализация на значими експозиции и сбирки</w:t>
                  </w:r>
                </w:p>
                <w:p w14:paraId="663D4D30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Приблизителна стойност: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2 200 000лв</w:t>
                  </w:r>
                </w:p>
              </w:tc>
            </w:tr>
            <w:tr w:rsidR="00E91528" w:rsidRPr="00E91528" w14:paraId="1F14A568" w14:textId="77777777" w:rsidTr="00E91528">
              <w:tc>
                <w:tcPr>
                  <w:tcW w:w="2500" w:type="pct"/>
                </w:tcPr>
                <w:p w14:paraId="688B4BFA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Регионална библиотека „Сава Доброплодни“ - Сливен</w:t>
                  </w:r>
                </w:p>
              </w:tc>
              <w:tc>
                <w:tcPr>
                  <w:tcW w:w="2500" w:type="pct"/>
                </w:tcPr>
                <w:p w14:paraId="42EEA2B1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Времеви период :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 – 2027 г. </w:t>
                  </w:r>
                </w:p>
                <w:p w14:paraId="57E43737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Ремонт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фондохранилища, зали за свободен достъп. ремонт стени и тавани, подмяна подова настилка, подмяна врати хранилища съгл. изискванията за пожарна безопасност. Изграждане на външен асансьор за достъп за хора с увреждания до обслужващите звена в старата сграда и първото разширение на библиотеката. </w:t>
                  </w:r>
                </w:p>
                <w:p w14:paraId="69272DCB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Приблизителна стойност: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500 000 лв. </w:t>
                  </w:r>
                </w:p>
              </w:tc>
            </w:tr>
            <w:tr w:rsidR="00E91528" w:rsidRPr="00E91528" w14:paraId="1FB0C57F" w14:textId="77777777" w:rsidTr="00E91528">
              <w:tc>
                <w:tcPr>
                  <w:tcW w:w="2500" w:type="pct"/>
                </w:tcPr>
                <w:p w14:paraId="690B72B2" w14:textId="050A2EBB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Антична и средновековна крепост Туида</w:t>
                  </w:r>
                </w:p>
                <w:p w14:paraId="773C06FB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14:paraId="54E4AFBD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Времеви период: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2021-2027 г. </w:t>
                  </w:r>
                </w:p>
                <w:p w14:paraId="6436B682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Изготвяне на проект за консервация, реставрация и социализация на крепост Туида. Извършване на консервационно-реставрационни дейности. Дейности по облагородяване и поддържане на съществуваща инфраструктура. Изграждане на допълнителна обслужваща инфраструктура и т.н..  </w:t>
                  </w:r>
                </w:p>
                <w:p w14:paraId="220472B1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Приблизителна стойност: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1 250 000 лв.</w:t>
                  </w:r>
                </w:p>
              </w:tc>
            </w:tr>
            <w:tr w:rsidR="00E91528" w:rsidRPr="00E91528" w14:paraId="6EF6D138" w14:textId="77777777" w:rsidTr="00E91528">
              <w:tc>
                <w:tcPr>
                  <w:tcW w:w="2500" w:type="pct"/>
                </w:tcPr>
                <w:p w14:paraId="082D5423" w14:textId="738742E2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Калояновска тракийска гробница  </w:t>
                  </w:r>
                </w:p>
                <w:p w14:paraId="4E017C2F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(с. Калояново, община Сливен)</w:t>
                  </w:r>
                </w:p>
              </w:tc>
              <w:tc>
                <w:tcPr>
                  <w:tcW w:w="2500" w:type="pct"/>
                </w:tcPr>
                <w:p w14:paraId="2A05FD21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Времеви период: 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2021-2027 г.</w:t>
                  </w: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42CC9D9A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Изготвяне на проект за консервация, реставрация и социализация на архитектурно-исторически резерват Извършване на консервационно-реставрационни 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дейности. Изграждане на Информационен център с изложбена зала и паркинг. Дейности по облагородяване и поддържане на инфраструктурата. </w:t>
                  </w:r>
                </w:p>
                <w:p w14:paraId="3EC6E2C7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Приблизителна стойност: 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900 000 лв</w:t>
                  </w: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E91528" w:rsidRPr="00E91528" w14:paraId="3FD2C72A" w14:textId="77777777" w:rsidTr="00E91528">
              <w:tc>
                <w:tcPr>
                  <w:tcW w:w="2500" w:type="pct"/>
                </w:tcPr>
                <w:p w14:paraId="0DC544E3" w14:textId="2AFEEE00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Национална художествена гимназия гр.</w:t>
                  </w:r>
                  <w:r w:rsidR="00FA5C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Сливен </w:t>
                  </w:r>
                </w:p>
                <w:p w14:paraId="63F06F89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14:paraId="19F3C805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Времеви период 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2021-2027 г.</w:t>
                  </w:r>
                </w:p>
                <w:p w14:paraId="384D14D9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и реконструкция на училищна сграда и общежитие, въвеждане на мерки за енергийна ефективност, изграждане на открити спортни площадки.</w:t>
                  </w:r>
                </w:p>
                <w:p w14:paraId="0025A90B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Приблизителна стойност 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900 000 лв.</w:t>
                  </w:r>
                </w:p>
              </w:tc>
            </w:tr>
            <w:tr w:rsidR="00E91528" w:rsidRPr="00E91528" w14:paraId="410F8AD4" w14:textId="77777777" w:rsidTr="00E91528">
              <w:tc>
                <w:tcPr>
                  <w:tcW w:w="2500" w:type="pct"/>
                </w:tcPr>
                <w:p w14:paraId="142F6AA2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Нацинален музей на каракачаните в България</w:t>
                  </w:r>
                </w:p>
                <w:p w14:paraId="7A1A7894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14:paraId="6490BAA7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Времеви период: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2021-2027 г. </w:t>
                  </w:r>
                </w:p>
                <w:p w14:paraId="1F55804C" w14:textId="01EE389F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Изготвяне на проект и изграждане и оборудване на нова сграда за </w:t>
                  </w:r>
                  <w:r w:rsidR="00FA5C64"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Национален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музей на 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каракачаните в България в гр. Сливен. </w:t>
                  </w:r>
                </w:p>
                <w:p w14:paraId="2E279F1B" w14:textId="77777777" w:rsidR="00E91528" w:rsidRPr="00E91528" w:rsidRDefault="00E91528" w:rsidP="00E91528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5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Приблизителна стойност:</w:t>
                  </w:r>
                  <w:r w:rsidRPr="00E91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1 250 000 лв.</w:t>
                  </w:r>
                </w:p>
              </w:tc>
            </w:tr>
          </w:tbl>
          <w:p w14:paraId="42AC66EA" w14:textId="77777777" w:rsidR="006F3EAB" w:rsidRDefault="006F3EAB" w:rsidP="00DC49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14:paraId="6AF50894" w14:textId="259EE045" w:rsidR="006F3EAB" w:rsidRPr="00AE5C33" w:rsidRDefault="006112B6" w:rsidP="00171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963F3">
              <w:rPr>
                <w:rFonts w:ascii="Times New Roman" w:hAnsi="Times New Roman" w:cs="Times New Roman"/>
                <w:sz w:val="24"/>
                <w:szCs w:val="24"/>
              </w:rPr>
              <w:t>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 частично</w:t>
            </w:r>
            <w:r w:rsidR="00A96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49AE" w:rsidRPr="00EF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1" w:type="dxa"/>
          </w:tcPr>
          <w:p w14:paraId="5D10E5E0" w14:textId="77777777" w:rsidR="006F3EAB" w:rsidRDefault="00A963F3" w:rsidP="00C2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14">
              <w:rPr>
                <w:rFonts w:ascii="Times New Roman" w:hAnsi="Times New Roman" w:cs="Times New Roman"/>
                <w:sz w:val="24"/>
                <w:szCs w:val="24"/>
              </w:rPr>
              <w:t xml:space="preserve">Данните от таблицата са </w:t>
            </w:r>
            <w:r w:rsidR="00C22FB2">
              <w:rPr>
                <w:rFonts w:ascii="Times New Roman" w:hAnsi="Times New Roman" w:cs="Times New Roman"/>
                <w:sz w:val="24"/>
                <w:szCs w:val="24"/>
              </w:rPr>
              <w:t>предоставени по официален път</w:t>
            </w:r>
            <w:r w:rsidRPr="00E4441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на културата и не могат да бъдат кори</w:t>
            </w:r>
            <w:r w:rsidR="00317D48" w:rsidRPr="00E44414">
              <w:rPr>
                <w:rFonts w:ascii="Times New Roman" w:hAnsi="Times New Roman" w:cs="Times New Roman"/>
                <w:sz w:val="24"/>
                <w:szCs w:val="24"/>
              </w:rPr>
              <w:t>гирани</w:t>
            </w:r>
            <w:r w:rsidR="00C22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7D48" w:rsidRPr="00E44414">
              <w:rPr>
                <w:rFonts w:ascii="Times New Roman" w:hAnsi="Times New Roman" w:cs="Times New Roman"/>
                <w:sz w:val="24"/>
                <w:szCs w:val="24"/>
              </w:rPr>
              <w:t xml:space="preserve"> без повторно съгласуване. </w:t>
            </w:r>
          </w:p>
          <w:p w14:paraId="55571358" w14:textId="7B2B87CD" w:rsidR="006112B6" w:rsidRPr="00AE5C33" w:rsidRDefault="006112B6" w:rsidP="00C22FB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отношение на предложението, направено по време на заседанието на РСР за ЮИР на 27.09.2022 г., а именно: Д</w:t>
            </w:r>
            <w:r w:rsidRPr="006112B6">
              <w:rPr>
                <w:rFonts w:ascii="Times New Roman" w:hAnsi="Times New Roman" w:cs="Times New Roman"/>
                <w:sz w:val="24"/>
                <w:szCs w:val="24"/>
              </w:rPr>
              <w:t>а се включат обектите Крепост „Туида“, Калояновска тракийска могила и Национален музей на каракачаните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предложението се приема.</w:t>
            </w:r>
          </w:p>
        </w:tc>
      </w:tr>
      <w:tr w:rsidR="00F73E71" w:rsidRPr="00F13BDE" w14:paraId="64505679" w14:textId="77777777" w:rsidTr="00410559">
        <w:trPr>
          <w:trHeight w:val="303"/>
        </w:trPr>
        <w:tc>
          <w:tcPr>
            <w:tcW w:w="516" w:type="dxa"/>
            <w:tcBorders>
              <w:top w:val="nil"/>
              <w:bottom w:val="nil"/>
            </w:tcBorders>
          </w:tcPr>
          <w:p w14:paraId="36DEDE5B" w14:textId="77777777" w:rsidR="00F73E71" w:rsidRPr="00F13BDE" w:rsidRDefault="00F73E71" w:rsidP="00B53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F0522E6" w14:textId="77777777" w:rsidR="00F73E71" w:rsidRPr="00F13BDE" w:rsidRDefault="00F73E71" w:rsidP="001F2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2318A33B" w14:textId="3F577283" w:rsidR="00F73E71" w:rsidRPr="00E91528" w:rsidRDefault="00F73E71" w:rsidP="00F7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отношение на конкретните проекти, описани в ИТСР на ЮИР, да се запише, че се касае за индикативни проекти, за да не се ограничава инициативността на кандидатите при разработване на конкретни проектни предложения.</w:t>
            </w:r>
          </w:p>
        </w:tc>
        <w:tc>
          <w:tcPr>
            <w:tcW w:w="1893" w:type="dxa"/>
            <w:shd w:val="clear" w:color="auto" w:fill="auto"/>
          </w:tcPr>
          <w:p w14:paraId="033AC177" w14:textId="77E1750C" w:rsidR="00F73E71" w:rsidRDefault="00F73E71" w:rsidP="0017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</w:t>
            </w:r>
          </w:p>
        </w:tc>
        <w:tc>
          <w:tcPr>
            <w:tcW w:w="4001" w:type="dxa"/>
          </w:tcPr>
          <w:p w14:paraId="001C9A19" w14:textId="0C945CB3" w:rsidR="00F73E71" w:rsidRPr="00E44414" w:rsidRDefault="00F73E71" w:rsidP="00C2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2C">
              <w:rPr>
                <w:rFonts w:ascii="Times New Roman" w:hAnsi="Times New Roman" w:cs="Times New Roman"/>
                <w:sz w:val="24"/>
                <w:szCs w:val="24"/>
              </w:rPr>
              <w:t>Текстът ще бъде коригиран.</w:t>
            </w:r>
          </w:p>
        </w:tc>
      </w:tr>
      <w:tr w:rsidR="001340B5" w:rsidRPr="00F13BDE" w14:paraId="786F06C2" w14:textId="77777777" w:rsidTr="0014132D">
        <w:trPr>
          <w:trHeight w:val="303"/>
        </w:trPr>
        <w:tc>
          <w:tcPr>
            <w:tcW w:w="516" w:type="dxa"/>
            <w:tcBorders>
              <w:top w:val="nil"/>
            </w:tcBorders>
          </w:tcPr>
          <w:p w14:paraId="3651DE7A" w14:textId="77777777" w:rsidR="001340B5" w:rsidRPr="00F13BDE" w:rsidRDefault="001340B5" w:rsidP="0013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14:paraId="7DD0CA54" w14:textId="77777777" w:rsidR="001340B5" w:rsidRPr="00F13BDE" w:rsidRDefault="001340B5" w:rsidP="0013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4DEEFAD1" w14:textId="548AA64A" w:rsidR="001340B5" w:rsidRDefault="001340B5" w:rsidP="0013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5">
              <w:rPr>
                <w:rFonts w:ascii="Times New Roman" w:hAnsi="Times New Roman" w:cs="Times New Roman"/>
                <w:sz w:val="24"/>
                <w:szCs w:val="24"/>
              </w:rPr>
              <w:t>ИТСР да се допълни с новосъздадените за Програмен период 2021-2027 г. Местни инициативни групи и Местни инициативни рибарски групи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(МИГ и МИРГ).</w:t>
            </w:r>
          </w:p>
        </w:tc>
        <w:tc>
          <w:tcPr>
            <w:tcW w:w="1893" w:type="dxa"/>
            <w:shd w:val="clear" w:color="auto" w:fill="auto"/>
          </w:tcPr>
          <w:p w14:paraId="6418F8F8" w14:textId="63AF0AAE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се.</w:t>
            </w:r>
          </w:p>
        </w:tc>
        <w:tc>
          <w:tcPr>
            <w:tcW w:w="4001" w:type="dxa"/>
          </w:tcPr>
          <w:p w14:paraId="2D142227" w14:textId="0D45D382" w:rsidR="001340B5" w:rsidRPr="00677A2C" w:rsidRDefault="001340B5" w:rsidP="0013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Текстът ще бъде актуализиран, с уточнение, че ще бъде въведен общ текст за всички МИГ и МИРГ.</w:t>
            </w:r>
          </w:p>
        </w:tc>
      </w:tr>
      <w:tr w:rsidR="001340B5" w:rsidRPr="00F13BDE" w14:paraId="4F88A799" w14:textId="77777777" w:rsidTr="0014132D">
        <w:trPr>
          <w:trHeight w:val="288"/>
        </w:trPr>
        <w:tc>
          <w:tcPr>
            <w:tcW w:w="516" w:type="dxa"/>
            <w:vMerge w:val="restart"/>
          </w:tcPr>
          <w:p w14:paraId="2069559D" w14:textId="41E792C9" w:rsidR="001340B5" w:rsidRPr="00F13BDE" w:rsidRDefault="001340B5" w:rsidP="0013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9" w:type="dxa"/>
            <w:vMerge w:val="restart"/>
          </w:tcPr>
          <w:p w14:paraId="040638E3" w14:textId="37759E2A" w:rsidR="001340B5" w:rsidRPr="00F13BDE" w:rsidRDefault="001340B5" w:rsidP="0013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на туризма</w:t>
            </w:r>
          </w:p>
        </w:tc>
        <w:tc>
          <w:tcPr>
            <w:tcW w:w="6000" w:type="dxa"/>
          </w:tcPr>
          <w:p w14:paraId="72F49412" w14:textId="6C832ADE" w:rsidR="001340B5" w:rsidRPr="00B53EBF" w:rsidRDefault="001340B5" w:rsidP="001340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EBF">
              <w:rPr>
                <w:rFonts w:ascii="Times New Roman" w:hAnsi="Times New Roman"/>
                <w:sz w:val="24"/>
                <w:szCs w:val="24"/>
              </w:rPr>
              <w:t xml:space="preserve">ИТСР показва всеобхватно изследване на ресурсите на региона и идентифицирани възможности за развитие на видовете туризъм. Коректно е представено развитието на туризма и бъдещите възможностите за диверсификация, силните и слабите страни. Анализирани са и допълнителни фактори за развитието на сектора като транспортната инфраструктура, в т.ч. достъпността до местата за отдих и туризъм, необходимостта от осигуряване в бъдеще на допълнителни водни количества с оглед на бързо развиващата се туристическа база и др. Изведена е необходимостта от устойчиво туристическо развитие на региона. </w:t>
            </w:r>
          </w:p>
          <w:p w14:paraId="2BE16A74" w14:textId="77777777" w:rsidR="001340B5" w:rsidRPr="00B53EBF" w:rsidRDefault="001340B5" w:rsidP="001340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EBF">
              <w:rPr>
                <w:rFonts w:ascii="Times New Roman" w:hAnsi="Times New Roman"/>
                <w:sz w:val="24"/>
                <w:szCs w:val="24"/>
              </w:rPr>
              <w:t xml:space="preserve">Представени са приоритетите за съхраняване и валоризиране на културното наследство в Югоизточен регион, които считаме че са резонни и актуални (стр. </w:t>
            </w:r>
            <w:r w:rsidRPr="00B53EBF">
              <w:rPr>
                <w:rFonts w:ascii="Times New Roman" w:hAnsi="Times New Roman"/>
                <w:sz w:val="24"/>
                <w:szCs w:val="24"/>
              </w:rPr>
              <w:lastRenderedPageBreak/>
              <w:t>131). В текста на документа се срещат и редица други позовавания, които извеждат важни и необходими мерки за развитие на туризма в региона, като например: включване на пристанище Бургас в списъка на пристанищата за посещение от круизни и други туристически кораби; разширяването на съществуващ пристан и изграждането на нов пристан за малки плавателни съдове на остров Света Анастасия; дейности по развитие на пътната мрежа и др.</w:t>
            </w:r>
          </w:p>
          <w:p w14:paraId="01BDBDFC" w14:textId="77777777" w:rsidR="001340B5" w:rsidRPr="00B53EBF" w:rsidRDefault="001340B5" w:rsidP="001340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EBF">
              <w:rPr>
                <w:rFonts w:ascii="Times New Roman" w:hAnsi="Times New Roman"/>
                <w:sz w:val="24"/>
                <w:szCs w:val="24"/>
              </w:rPr>
              <w:t>От друга страна, в Приложението към документа като мерки/дейности са изведени следните, които се преповтарят за множество силни и слаби страни, идентифицирани в анализа:</w:t>
            </w:r>
          </w:p>
          <w:p w14:paraId="20D723A8" w14:textId="77777777" w:rsidR="001340B5" w:rsidRDefault="001340B5" w:rsidP="001340B5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EBF">
              <w:rPr>
                <w:rFonts w:ascii="Times New Roman" w:hAnsi="Times New Roman"/>
                <w:sz w:val="24"/>
                <w:szCs w:val="24"/>
              </w:rPr>
              <w:t xml:space="preserve">Предлагане на мултиплицирани туристически услуги на туристите; </w:t>
            </w:r>
          </w:p>
          <w:p w14:paraId="1EDB5F77" w14:textId="77777777" w:rsidR="001340B5" w:rsidRDefault="001340B5" w:rsidP="001340B5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EBF">
              <w:rPr>
                <w:rFonts w:ascii="Times New Roman" w:hAnsi="Times New Roman"/>
                <w:sz w:val="24"/>
                <w:szCs w:val="24"/>
              </w:rPr>
              <w:t>Подкрепа на туристическата инфраструктура, включително изграждане на веломаршрутна мрежа в района свързана с посетителския туризъм в природна и урбанизирана среда, реставрация и консервация на недвижими културни ценности от архитектурното наследство, модерен маркетинг и реклама;</w:t>
            </w:r>
          </w:p>
          <w:p w14:paraId="752F2081" w14:textId="633FBA4F" w:rsidR="001340B5" w:rsidRPr="00B53EBF" w:rsidRDefault="001340B5" w:rsidP="001340B5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EBF">
              <w:rPr>
                <w:rFonts w:ascii="Times New Roman" w:hAnsi="Times New Roman"/>
                <w:sz w:val="24"/>
                <w:szCs w:val="24"/>
              </w:rPr>
              <w:t>Модернизацията, иновациите и новите технологии във всички морски дейности е другият фокус на интервенциите през периода.</w:t>
            </w:r>
          </w:p>
          <w:p w14:paraId="1661D322" w14:textId="2BFEDDFD" w:rsidR="001340B5" w:rsidRPr="00DC49CB" w:rsidRDefault="001340B5" w:rsidP="001340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EBF">
              <w:rPr>
                <w:rFonts w:ascii="Times New Roman" w:hAnsi="Times New Roman"/>
                <w:sz w:val="24"/>
                <w:szCs w:val="24"/>
              </w:rPr>
              <w:t xml:space="preserve">Считаме, че горепосочените 3 мерки/дейности следва да бъдат прецизирани спрямо спецификата на съответната силна и/или слаба страна, като останат релевантните </w:t>
            </w:r>
            <w:r w:rsidRPr="00B53EBF">
              <w:rPr>
                <w:rFonts w:ascii="Times New Roman" w:hAnsi="Times New Roman"/>
                <w:sz w:val="24"/>
                <w:szCs w:val="24"/>
              </w:rPr>
              <w:lastRenderedPageBreak/>
              <w:t>такива без да се дублират. Считаме, че правилното формулиране на приоритетни мерки и дейности е от съществено значение за постигане на целите на ИТСР и измерване на постигнатите резултати. В допълнение, предлагаме да бъде изяснен смисъла на дейността „Предлагане на мултиплицирани туристически услуги на туристите“.</w:t>
            </w:r>
          </w:p>
        </w:tc>
        <w:tc>
          <w:tcPr>
            <w:tcW w:w="1893" w:type="dxa"/>
          </w:tcPr>
          <w:p w14:paraId="4BDEB0B1" w14:textId="4BD564D6" w:rsidR="001340B5" w:rsidRPr="00677A2C" w:rsidRDefault="001340B5" w:rsidP="001340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Приема се. </w:t>
            </w:r>
          </w:p>
        </w:tc>
        <w:tc>
          <w:tcPr>
            <w:tcW w:w="4001" w:type="dxa"/>
          </w:tcPr>
          <w:p w14:paraId="41ED815D" w14:textId="42F17449" w:rsidR="001340B5" w:rsidRPr="00677A2C" w:rsidRDefault="001340B5" w:rsidP="001340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2C">
              <w:rPr>
                <w:rFonts w:ascii="Times New Roman" w:hAnsi="Times New Roman" w:cs="Times New Roman"/>
                <w:sz w:val="24"/>
                <w:szCs w:val="24"/>
              </w:rPr>
              <w:t xml:space="preserve">Текстът ще бъде коригиран. </w:t>
            </w:r>
          </w:p>
        </w:tc>
      </w:tr>
      <w:tr w:rsidR="001340B5" w:rsidRPr="00F13BDE" w14:paraId="4BCD06A6" w14:textId="77777777" w:rsidTr="0014132D">
        <w:trPr>
          <w:trHeight w:val="288"/>
        </w:trPr>
        <w:tc>
          <w:tcPr>
            <w:tcW w:w="516" w:type="dxa"/>
            <w:vMerge/>
          </w:tcPr>
          <w:p w14:paraId="5683F70E" w14:textId="77777777" w:rsidR="001340B5" w:rsidRDefault="001340B5" w:rsidP="0013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1FA9C11C" w14:textId="77777777" w:rsidR="001340B5" w:rsidRDefault="001340B5" w:rsidP="0013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4E620DA9" w14:textId="5A903190" w:rsidR="001340B5" w:rsidRPr="00DC49CB" w:rsidRDefault="001340B5" w:rsidP="001340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EBF">
              <w:rPr>
                <w:rFonts w:ascii="Times New Roman" w:hAnsi="Times New Roman"/>
                <w:sz w:val="24"/>
                <w:szCs w:val="24"/>
              </w:rPr>
              <w:t>В текста на ИТСР е отчетена важната роля на туризма в стопанската структура на Югоизточния регион като е посочено следното: „В региона са съсредоточени 28,7 % от местата за настаняване, 40,7 % от легловата база и се формират 34,7 % от приходите от нощувки в отрасъл туризъм в национален мащаб.“. Не е посочено към коя година са тези данни. С оглед актуалност на данните предлагаме следната корекция: „В  югоизточния район през 2021 г.  са съсредоточени 29,1 % от местата за настаняване, 40,2 % от  леглата и се формират 37,8 % от приходите от нощувки в отрасъл туризъм в национален мащаб, като всички тези  данни се отнасят до места за настаняване с 10 и повече легла“.</w:t>
            </w:r>
          </w:p>
        </w:tc>
        <w:tc>
          <w:tcPr>
            <w:tcW w:w="1893" w:type="dxa"/>
          </w:tcPr>
          <w:p w14:paraId="22B2F8F8" w14:textId="38CF4825" w:rsidR="001340B5" w:rsidRPr="00AE5C33" w:rsidRDefault="001340B5" w:rsidP="001340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4A06">
              <w:rPr>
                <w:rFonts w:ascii="Times New Roman" w:hAnsi="Times New Roman" w:cs="Times New Roman"/>
                <w:sz w:val="24"/>
                <w:szCs w:val="24"/>
              </w:rPr>
              <w:t xml:space="preserve">Приема се. </w:t>
            </w:r>
          </w:p>
        </w:tc>
        <w:tc>
          <w:tcPr>
            <w:tcW w:w="4001" w:type="dxa"/>
          </w:tcPr>
          <w:p w14:paraId="4705FD23" w14:textId="1010B84D" w:rsidR="001340B5" w:rsidRPr="00AE5C33" w:rsidRDefault="001340B5" w:rsidP="001340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Текстът ще бъде коригиран.</w:t>
            </w:r>
          </w:p>
        </w:tc>
      </w:tr>
      <w:tr w:rsidR="001340B5" w:rsidRPr="00F13BDE" w14:paraId="696D8B52" w14:textId="77777777" w:rsidTr="0014132D">
        <w:trPr>
          <w:trHeight w:val="491"/>
        </w:trPr>
        <w:tc>
          <w:tcPr>
            <w:tcW w:w="516" w:type="dxa"/>
            <w:vMerge/>
          </w:tcPr>
          <w:p w14:paraId="4892781E" w14:textId="58DFC793" w:rsidR="001340B5" w:rsidRPr="00A63D95" w:rsidRDefault="001340B5" w:rsidP="001340B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3616E114" w14:textId="59D52454" w:rsidR="001340B5" w:rsidRPr="00A63D95" w:rsidRDefault="001340B5" w:rsidP="0013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7B6DA9C6" w14:textId="6DECABDC" w:rsidR="001340B5" w:rsidRPr="00B53EBF" w:rsidRDefault="001340B5" w:rsidP="001340B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E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текста на документа са предвидени мерки и дейности за адаптиране към климатичните промени и за намаляване на риска от природни бедствия. Посочено е също, че „новото предизвикателство COVID-19 ще наложи своят отпечатък по линия на бюджета на ЕС, националния бюджет и общинските бюджети поне в рамките на първите две години от новия програмен период“. Въпреки това използваните данни за </w:t>
            </w:r>
            <w:r w:rsidRPr="00B53EB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извършване на целия анализ обхващат периода 2010 – 2017/2019 г., поради което не отразяват актуалната икономическа ситуация. Не са отчетени социално-икономическите последствия от настъпилата криза от пандемията, започналата през 2022 г. война в Украйна и последствията от нея в европейски и световен мащаб, повишаването на цените на горивата и др. Респективно, не е отчетено влиянието върху туризма, който заема съществено място от икономиката на региона и е основно засегнат от последствията от посочените форсмажорни обстоятелства.</w:t>
            </w:r>
          </w:p>
          <w:p w14:paraId="3D3A5DA7" w14:textId="39171E2C" w:rsidR="001340B5" w:rsidRPr="00513D34" w:rsidRDefault="001340B5" w:rsidP="001340B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EBF">
              <w:rPr>
                <w:rFonts w:ascii="Times New Roman" w:hAnsi="Times New Roman" w:cs="Times New Roman"/>
                <w:iCs/>
                <w:sz w:val="24"/>
                <w:szCs w:val="24"/>
              </w:rPr>
              <w:t>Предвид горепосоченото, следва да се вземат под внимание настъпилите форсмажорни обстоятелства,  да се отчете влиянието им върху туристическия сектор, а при актуализация на документа да бъде извършен задълбочен анализ и да се предвидят актуални мерки и проекти за преодоляване на негативните тенденции.</w:t>
            </w:r>
          </w:p>
        </w:tc>
        <w:tc>
          <w:tcPr>
            <w:tcW w:w="1893" w:type="dxa"/>
          </w:tcPr>
          <w:p w14:paraId="195FD2A7" w14:textId="685CE09A" w:rsidR="001340B5" w:rsidRPr="00F13BDE" w:rsidRDefault="001340B5" w:rsidP="0013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Приема се частично.  </w:t>
            </w:r>
          </w:p>
        </w:tc>
        <w:tc>
          <w:tcPr>
            <w:tcW w:w="4001" w:type="dxa"/>
          </w:tcPr>
          <w:p w14:paraId="580C42DA" w14:textId="70AD82FA" w:rsidR="001340B5" w:rsidRPr="00F13BDE" w:rsidRDefault="001340B5" w:rsidP="001340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20">
              <w:rPr>
                <w:rFonts w:ascii="Times New Roman" w:hAnsi="Times New Roman" w:cs="Times New Roman"/>
                <w:sz w:val="24"/>
                <w:szCs w:val="24"/>
              </w:rPr>
              <w:t>При извършването на актуализацията на ИТСР ще бъдат направени съответните актуализации във връзка с последиците от пандемията Ковид-19 и войната в Украйна.</w:t>
            </w:r>
          </w:p>
        </w:tc>
      </w:tr>
      <w:tr w:rsidR="001340B5" w:rsidRPr="00F13BDE" w14:paraId="63A608FE" w14:textId="77777777" w:rsidTr="0014132D">
        <w:trPr>
          <w:trHeight w:val="274"/>
        </w:trPr>
        <w:tc>
          <w:tcPr>
            <w:tcW w:w="516" w:type="dxa"/>
            <w:vMerge/>
          </w:tcPr>
          <w:p w14:paraId="2A86B8BC" w14:textId="1BF82AAC" w:rsidR="001340B5" w:rsidRPr="00A63D95" w:rsidRDefault="001340B5" w:rsidP="00134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0D69C603" w14:textId="2029833F" w:rsidR="001340B5" w:rsidRPr="00F13BDE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2DDE2008" w14:textId="2A85D838" w:rsidR="001340B5" w:rsidRPr="00F13BDE" w:rsidRDefault="001340B5" w:rsidP="001340B5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B53EBF">
              <w:rPr>
                <w:sz w:val="24"/>
                <w:szCs w:val="24"/>
                <w:lang w:val="bg-BG"/>
              </w:rPr>
              <w:t>Предлагаме използваната терминология, касаеща туризма, да бъде съобразена с утвърдените термини за видовете туризъм, използвани в Националната стратегия за устойчиво развитие на туризма в Република България за периода 2014 – 2030 г.</w:t>
            </w:r>
          </w:p>
        </w:tc>
        <w:tc>
          <w:tcPr>
            <w:tcW w:w="1893" w:type="dxa"/>
          </w:tcPr>
          <w:p w14:paraId="68EB19A6" w14:textId="3C335152" w:rsidR="001340B5" w:rsidRPr="00F13BDE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се. </w:t>
            </w:r>
          </w:p>
        </w:tc>
        <w:tc>
          <w:tcPr>
            <w:tcW w:w="4001" w:type="dxa"/>
          </w:tcPr>
          <w:p w14:paraId="3D7F9C90" w14:textId="5AC02870" w:rsidR="001340B5" w:rsidRPr="00F13BDE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Текстът ще бъде актуализиран с коректна терминология по отношение на видовете туризъм.</w:t>
            </w:r>
          </w:p>
        </w:tc>
      </w:tr>
      <w:tr w:rsidR="001340B5" w:rsidRPr="00F13BDE" w14:paraId="12AD2594" w14:textId="77777777" w:rsidTr="0014132D">
        <w:trPr>
          <w:trHeight w:val="274"/>
        </w:trPr>
        <w:tc>
          <w:tcPr>
            <w:tcW w:w="516" w:type="dxa"/>
          </w:tcPr>
          <w:p w14:paraId="71F57ED1" w14:textId="2BF8985B" w:rsidR="001340B5" w:rsidRPr="00A63D95" w:rsidRDefault="001340B5" w:rsidP="00134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</w:tcPr>
          <w:p w14:paraId="720F0B76" w14:textId="1B53BCA7" w:rsidR="001340B5" w:rsidRPr="00F13BDE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Поморие</w:t>
            </w:r>
          </w:p>
        </w:tc>
        <w:tc>
          <w:tcPr>
            <w:tcW w:w="6000" w:type="dxa"/>
          </w:tcPr>
          <w:p w14:paraId="4637B1AA" w14:textId="16B49034" w:rsidR="001340B5" w:rsidRPr="00B53EBF" w:rsidRDefault="001340B5" w:rsidP="001340B5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6047A">
              <w:rPr>
                <w:sz w:val="24"/>
                <w:szCs w:val="24"/>
                <w:lang w:val="bg-BG"/>
              </w:rPr>
              <w:t>Г-н Иван Алексиев – кмет на община Поморие направи коментар, че за община Поморие не е отбелязана Тракийската куполна гробница, която е от национално и културно значение, както и моли за включване на две местни инициативни групи МИГ-Поморие и МИРГ-Поморие в Приложение 1.</w:t>
            </w:r>
          </w:p>
        </w:tc>
        <w:tc>
          <w:tcPr>
            <w:tcW w:w="1893" w:type="dxa"/>
          </w:tcPr>
          <w:p w14:paraId="61A7B414" w14:textId="40B92B74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се.</w:t>
            </w:r>
          </w:p>
        </w:tc>
        <w:tc>
          <w:tcPr>
            <w:tcW w:w="4001" w:type="dxa"/>
          </w:tcPr>
          <w:p w14:paraId="79B43DA0" w14:textId="17510369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Текстът ще бъде актуализиран.</w:t>
            </w:r>
          </w:p>
        </w:tc>
      </w:tr>
      <w:tr w:rsidR="001340B5" w:rsidRPr="00F13BDE" w14:paraId="3DC11795" w14:textId="77777777" w:rsidTr="0014132D">
        <w:trPr>
          <w:trHeight w:val="274"/>
        </w:trPr>
        <w:tc>
          <w:tcPr>
            <w:tcW w:w="516" w:type="dxa"/>
          </w:tcPr>
          <w:p w14:paraId="07079C68" w14:textId="6F88B095" w:rsidR="001340B5" w:rsidRDefault="001340B5" w:rsidP="00134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979" w:type="dxa"/>
          </w:tcPr>
          <w:p w14:paraId="4A07F542" w14:textId="43C26BB6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953">
              <w:rPr>
                <w:rFonts w:ascii="Times New Roman" w:hAnsi="Times New Roman" w:cs="Times New Roman"/>
                <w:sz w:val="24"/>
                <w:szCs w:val="24"/>
              </w:rPr>
              <w:t>бщина Карнобат</w:t>
            </w:r>
          </w:p>
        </w:tc>
        <w:tc>
          <w:tcPr>
            <w:tcW w:w="6000" w:type="dxa"/>
          </w:tcPr>
          <w:p w14:paraId="2E58B6A6" w14:textId="0793F9F8" w:rsidR="001340B5" w:rsidRPr="0006047A" w:rsidRDefault="001340B5" w:rsidP="001340B5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</w:t>
            </w:r>
            <w:r w:rsidRPr="00011953">
              <w:rPr>
                <w:sz w:val="24"/>
                <w:szCs w:val="24"/>
                <w:lang w:val="bg-BG"/>
              </w:rPr>
              <w:t>а се направи допълнение в приложението чрез включване на МИГ-Карнобат.</w:t>
            </w:r>
          </w:p>
        </w:tc>
        <w:tc>
          <w:tcPr>
            <w:tcW w:w="1893" w:type="dxa"/>
          </w:tcPr>
          <w:p w14:paraId="1C63D7B2" w14:textId="792C1476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се.</w:t>
            </w:r>
          </w:p>
        </w:tc>
        <w:tc>
          <w:tcPr>
            <w:tcW w:w="4001" w:type="dxa"/>
          </w:tcPr>
          <w:p w14:paraId="3D5695E4" w14:textId="2B19E163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Текстът ще бъде актуализиран.</w:t>
            </w:r>
          </w:p>
        </w:tc>
      </w:tr>
      <w:tr w:rsidR="001340B5" w:rsidRPr="00F13BDE" w14:paraId="3E78BF01" w14:textId="77777777" w:rsidTr="0014132D">
        <w:trPr>
          <w:trHeight w:val="274"/>
        </w:trPr>
        <w:tc>
          <w:tcPr>
            <w:tcW w:w="516" w:type="dxa"/>
          </w:tcPr>
          <w:p w14:paraId="16A0CEA7" w14:textId="0EA83035" w:rsidR="001340B5" w:rsidRDefault="001340B5" w:rsidP="00134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79" w:type="dxa"/>
          </w:tcPr>
          <w:p w14:paraId="322488A7" w14:textId="176D704B" w:rsidR="001340B5" w:rsidRPr="00011953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953">
              <w:rPr>
                <w:rFonts w:ascii="Times New Roman" w:hAnsi="Times New Roman" w:cs="Times New Roman"/>
                <w:sz w:val="24"/>
                <w:szCs w:val="24"/>
              </w:rPr>
              <w:t>бщина Ямбол</w:t>
            </w:r>
          </w:p>
        </w:tc>
        <w:tc>
          <w:tcPr>
            <w:tcW w:w="6000" w:type="dxa"/>
          </w:tcPr>
          <w:p w14:paraId="3E9B3A0C" w14:textId="0F87BE56" w:rsidR="001340B5" w:rsidRDefault="001340B5" w:rsidP="001340B5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</w:t>
            </w:r>
            <w:r w:rsidRPr="00011953">
              <w:rPr>
                <w:sz w:val="24"/>
                <w:szCs w:val="24"/>
                <w:lang w:val="bg-BG"/>
              </w:rPr>
              <w:t>а бъде включена в приложението изградената пречиствателна станция на отпадни води на територията на общината.</w:t>
            </w:r>
          </w:p>
        </w:tc>
        <w:tc>
          <w:tcPr>
            <w:tcW w:w="1893" w:type="dxa"/>
          </w:tcPr>
          <w:p w14:paraId="640EADDB" w14:textId="2EC50EFD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се.</w:t>
            </w:r>
          </w:p>
        </w:tc>
        <w:tc>
          <w:tcPr>
            <w:tcW w:w="4001" w:type="dxa"/>
          </w:tcPr>
          <w:p w14:paraId="2230A00C" w14:textId="58DCBF00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Текстът ще бъде актуализиран.</w:t>
            </w:r>
          </w:p>
        </w:tc>
      </w:tr>
      <w:tr w:rsidR="001340B5" w:rsidRPr="00F13BDE" w14:paraId="5D875E04" w14:textId="77777777" w:rsidTr="0014132D">
        <w:trPr>
          <w:trHeight w:val="274"/>
        </w:trPr>
        <w:tc>
          <w:tcPr>
            <w:tcW w:w="516" w:type="dxa"/>
          </w:tcPr>
          <w:p w14:paraId="70D91D54" w14:textId="39FF2644" w:rsidR="001340B5" w:rsidRDefault="00B3175F" w:rsidP="00134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40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14:paraId="544704E5" w14:textId="60A59543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C8">
              <w:rPr>
                <w:rFonts w:ascii="Times New Roman" w:hAnsi="Times New Roman" w:cs="Times New Roman"/>
                <w:sz w:val="24"/>
                <w:szCs w:val="24"/>
              </w:rPr>
              <w:t>община Камено</w:t>
            </w:r>
          </w:p>
        </w:tc>
        <w:tc>
          <w:tcPr>
            <w:tcW w:w="6000" w:type="dxa"/>
          </w:tcPr>
          <w:p w14:paraId="439395E4" w14:textId="34F9A850" w:rsidR="001340B5" w:rsidRDefault="001340B5" w:rsidP="001340B5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E28C8">
              <w:rPr>
                <w:sz w:val="24"/>
                <w:szCs w:val="24"/>
                <w:lang w:val="bg-BG"/>
              </w:rPr>
              <w:t>да се включат в приложението МИГ – Камено и МИРГ – Бургас – Камено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893" w:type="dxa"/>
          </w:tcPr>
          <w:p w14:paraId="0FEA175C" w14:textId="12649799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се.</w:t>
            </w:r>
          </w:p>
        </w:tc>
        <w:tc>
          <w:tcPr>
            <w:tcW w:w="4001" w:type="dxa"/>
          </w:tcPr>
          <w:p w14:paraId="228EDB7F" w14:textId="38188A25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Текстът ще бъде актуализиран.</w:t>
            </w:r>
          </w:p>
        </w:tc>
      </w:tr>
      <w:tr w:rsidR="001340B5" w:rsidRPr="00F13BDE" w14:paraId="78E48B65" w14:textId="77777777" w:rsidTr="0014132D">
        <w:trPr>
          <w:trHeight w:val="274"/>
        </w:trPr>
        <w:tc>
          <w:tcPr>
            <w:tcW w:w="516" w:type="dxa"/>
          </w:tcPr>
          <w:p w14:paraId="23AA2390" w14:textId="6F59747C" w:rsidR="001340B5" w:rsidRDefault="00B3175F" w:rsidP="00134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340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14:paraId="5122FE57" w14:textId="2BDB7803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Бургас</w:t>
            </w:r>
          </w:p>
        </w:tc>
        <w:tc>
          <w:tcPr>
            <w:tcW w:w="6000" w:type="dxa"/>
          </w:tcPr>
          <w:p w14:paraId="46841DD5" w14:textId="15459154" w:rsidR="001340B5" w:rsidRDefault="001340B5" w:rsidP="001340B5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Да се добави проект за модел на интегрирана детска грижа, </w:t>
            </w:r>
            <w:r w:rsidRPr="000E28C8">
              <w:rPr>
                <w:sz w:val="24"/>
                <w:szCs w:val="24"/>
                <w:lang w:val="bg-BG"/>
              </w:rPr>
              <w:t>в който да се включва, както университетска детска болница, така и целия комплекс от грижи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893" w:type="dxa"/>
          </w:tcPr>
          <w:p w14:paraId="55794021" w14:textId="207884CF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се.</w:t>
            </w:r>
          </w:p>
        </w:tc>
        <w:tc>
          <w:tcPr>
            <w:tcW w:w="4001" w:type="dxa"/>
          </w:tcPr>
          <w:p w14:paraId="279E2455" w14:textId="4A8BCB18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Текстът ще бъде актуализиран.</w:t>
            </w:r>
          </w:p>
        </w:tc>
      </w:tr>
      <w:tr w:rsidR="001340B5" w:rsidRPr="00F13BDE" w14:paraId="6F9CDA74" w14:textId="77777777" w:rsidTr="0014132D">
        <w:trPr>
          <w:trHeight w:val="274"/>
        </w:trPr>
        <w:tc>
          <w:tcPr>
            <w:tcW w:w="516" w:type="dxa"/>
          </w:tcPr>
          <w:p w14:paraId="68CBEB13" w14:textId="7CADB826" w:rsidR="001340B5" w:rsidRDefault="00B3175F" w:rsidP="00134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340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14:paraId="720625F9" w14:textId="65786559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8C8">
              <w:rPr>
                <w:rFonts w:ascii="Times New Roman" w:hAnsi="Times New Roman" w:cs="Times New Roman"/>
                <w:sz w:val="24"/>
                <w:szCs w:val="24"/>
              </w:rPr>
              <w:t>бщина Айтос</w:t>
            </w:r>
          </w:p>
        </w:tc>
        <w:tc>
          <w:tcPr>
            <w:tcW w:w="6000" w:type="dxa"/>
          </w:tcPr>
          <w:p w14:paraId="70EBABC7" w14:textId="68BC4745" w:rsidR="001340B5" w:rsidRDefault="001340B5" w:rsidP="001340B5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</w:t>
            </w:r>
            <w:r w:rsidRPr="000E28C8">
              <w:rPr>
                <w:sz w:val="24"/>
                <w:szCs w:val="24"/>
                <w:lang w:val="bg-BG"/>
              </w:rPr>
              <w:t>а се включи в приложението МИГ – Айтос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893" w:type="dxa"/>
          </w:tcPr>
          <w:p w14:paraId="1C29E7E8" w14:textId="6FFB4603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се.</w:t>
            </w:r>
          </w:p>
        </w:tc>
        <w:tc>
          <w:tcPr>
            <w:tcW w:w="4001" w:type="dxa"/>
          </w:tcPr>
          <w:p w14:paraId="0EB27771" w14:textId="15B9C951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Текстът ще бъде актуализиран.</w:t>
            </w:r>
          </w:p>
        </w:tc>
      </w:tr>
      <w:tr w:rsidR="001340B5" w:rsidRPr="00F13BDE" w14:paraId="6AE24D72" w14:textId="77777777" w:rsidTr="0014132D">
        <w:trPr>
          <w:trHeight w:val="274"/>
        </w:trPr>
        <w:tc>
          <w:tcPr>
            <w:tcW w:w="516" w:type="dxa"/>
          </w:tcPr>
          <w:p w14:paraId="269E13DA" w14:textId="014DFE98" w:rsidR="001340B5" w:rsidRPr="0014132D" w:rsidRDefault="00B3175F" w:rsidP="001340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 w:rsidR="001340B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14:paraId="196C5F26" w14:textId="7CB09664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– Ямбол</w:t>
            </w:r>
          </w:p>
        </w:tc>
        <w:tc>
          <w:tcPr>
            <w:tcW w:w="6000" w:type="dxa"/>
          </w:tcPr>
          <w:p w14:paraId="6D8AFD2F" w14:textId="3F05D437" w:rsidR="001340B5" w:rsidRDefault="001340B5" w:rsidP="001340B5">
            <w:pPr>
              <w:pStyle w:val="CommentText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Pr="0014132D">
              <w:rPr>
                <w:sz w:val="24"/>
                <w:szCs w:val="24"/>
                <w:lang w:val="bg-BG"/>
              </w:rPr>
              <w:t>редложение за проект за четирилентов път от граничен пункт Лесово до автомагистрала „Тракия“ по трасето на първокласен път 17, възстановяване на жп линията Ямбол – Елхово с продължение до град Одрин, изграждане на интермодален терминал за обработка на товари на територията на област Ямбол</w:t>
            </w:r>
          </w:p>
        </w:tc>
        <w:tc>
          <w:tcPr>
            <w:tcW w:w="1893" w:type="dxa"/>
          </w:tcPr>
          <w:p w14:paraId="081FDFC0" w14:textId="361A5911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се.</w:t>
            </w:r>
          </w:p>
        </w:tc>
        <w:tc>
          <w:tcPr>
            <w:tcW w:w="4001" w:type="dxa"/>
          </w:tcPr>
          <w:p w14:paraId="49D77CFA" w14:textId="1316C514" w:rsidR="001340B5" w:rsidRDefault="001340B5" w:rsidP="001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Текстът ще бъде актуализиран, с уточнение, че се касае за индикативни списъци с проектни идеи, които на по-късен етап трябва да се включат в интегрирани проекти.</w:t>
            </w:r>
          </w:p>
        </w:tc>
      </w:tr>
    </w:tbl>
    <w:p w14:paraId="41C36508" w14:textId="77777777" w:rsidR="00B53C16" w:rsidRPr="00F13BDE" w:rsidRDefault="00B53C16">
      <w:pPr>
        <w:rPr>
          <w:rFonts w:ascii="Times New Roman" w:hAnsi="Times New Roman" w:cs="Times New Roman"/>
          <w:sz w:val="24"/>
          <w:szCs w:val="24"/>
        </w:rPr>
      </w:pPr>
    </w:p>
    <w:p w14:paraId="0007CA30" w14:textId="77777777" w:rsidR="00F13BDE" w:rsidRPr="00F13BDE" w:rsidRDefault="00F13BD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B53C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58A85" w14:textId="77777777" w:rsidR="00604034" w:rsidRDefault="00604034" w:rsidP="00677A2C">
      <w:pPr>
        <w:spacing w:after="0" w:line="240" w:lineRule="auto"/>
      </w:pPr>
      <w:r>
        <w:separator/>
      </w:r>
    </w:p>
  </w:endnote>
  <w:endnote w:type="continuationSeparator" w:id="0">
    <w:p w14:paraId="25DDCB05" w14:textId="77777777" w:rsidR="00604034" w:rsidRDefault="00604034" w:rsidP="0067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93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183DB" w14:textId="53CAA4C3" w:rsidR="00677A2C" w:rsidRDefault="00677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75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F47BA79" w14:textId="77777777" w:rsidR="00677A2C" w:rsidRDefault="00677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5603C" w14:textId="77777777" w:rsidR="00604034" w:rsidRDefault="00604034" w:rsidP="00677A2C">
      <w:pPr>
        <w:spacing w:after="0" w:line="240" w:lineRule="auto"/>
      </w:pPr>
      <w:r>
        <w:separator/>
      </w:r>
    </w:p>
  </w:footnote>
  <w:footnote w:type="continuationSeparator" w:id="0">
    <w:p w14:paraId="783F2395" w14:textId="77777777" w:rsidR="00604034" w:rsidRDefault="00604034" w:rsidP="00677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A71"/>
    <w:multiLevelType w:val="hybridMultilevel"/>
    <w:tmpl w:val="4AD8951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B7210"/>
    <w:multiLevelType w:val="hybridMultilevel"/>
    <w:tmpl w:val="4832FE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46070"/>
    <w:multiLevelType w:val="hybridMultilevel"/>
    <w:tmpl w:val="357AF41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94361"/>
    <w:multiLevelType w:val="hybridMultilevel"/>
    <w:tmpl w:val="DC0AF3C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6260D"/>
    <w:multiLevelType w:val="hybridMultilevel"/>
    <w:tmpl w:val="0DD02222"/>
    <w:lvl w:ilvl="0" w:tplc="1834E0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217B3"/>
    <w:multiLevelType w:val="hybridMultilevel"/>
    <w:tmpl w:val="CABAC4F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84F85"/>
    <w:multiLevelType w:val="hybridMultilevel"/>
    <w:tmpl w:val="DF787F74"/>
    <w:lvl w:ilvl="0" w:tplc="D6620FA8">
      <w:start w:val="20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i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A5D9F"/>
    <w:multiLevelType w:val="multilevel"/>
    <w:tmpl w:val="64349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15358"/>
    <w:multiLevelType w:val="hybridMultilevel"/>
    <w:tmpl w:val="2FA8CC80"/>
    <w:lvl w:ilvl="0" w:tplc="CB40CC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583D"/>
    <w:multiLevelType w:val="hybridMultilevel"/>
    <w:tmpl w:val="D3BC80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DE6DB0"/>
    <w:multiLevelType w:val="hybridMultilevel"/>
    <w:tmpl w:val="DB9A4B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A5A1A"/>
    <w:multiLevelType w:val="hybridMultilevel"/>
    <w:tmpl w:val="94D41D1A"/>
    <w:lvl w:ilvl="0" w:tplc="00A650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85C30"/>
    <w:multiLevelType w:val="hybridMultilevel"/>
    <w:tmpl w:val="AE9C08E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77"/>
    <w:rsid w:val="00006FE2"/>
    <w:rsid w:val="00011953"/>
    <w:rsid w:val="00014139"/>
    <w:rsid w:val="00025C90"/>
    <w:rsid w:val="0003543C"/>
    <w:rsid w:val="000414B8"/>
    <w:rsid w:val="00051D4E"/>
    <w:rsid w:val="00055756"/>
    <w:rsid w:val="0006047A"/>
    <w:rsid w:val="000629A7"/>
    <w:rsid w:val="00074E30"/>
    <w:rsid w:val="00077537"/>
    <w:rsid w:val="0009365A"/>
    <w:rsid w:val="000C242B"/>
    <w:rsid w:val="000C3688"/>
    <w:rsid w:val="000D00DE"/>
    <w:rsid w:val="000D6F12"/>
    <w:rsid w:val="000D79D3"/>
    <w:rsid w:val="000E28C8"/>
    <w:rsid w:val="000E58A9"/>
    <w:rsid w:val="00112DC5"/>
    <w:rsid w:val="00126BE1"/>
    <w:rsid w:val="00133366"/>
    <w:rsid w:val="0013376F"/>
    <w:rsid w:val="00134039"/>
    <w:rsid w:val="001340B5"/>
    <w:rsid w:val="00137D95"/>
    <w:rsid w:val="0014132D"/>
    <w:rsid w:val="00154A06"/>
    <w:rsid w:val="0015647A"/>
    <w:rsid w:val="00156F3D"/>
    <w:rsid w:val="00161513"/>
    <w:rsid w:val="001616DA"/>
    <w:rsid w:val="0016712D"/>
    <w:rsid w:val="00171833"/>
    <w:rsid w:val="00176A9A"/>
    <w:rsid w:val="001779B1"/>
    <w:rsid w:val="00184A16"/>
    <w:rsid w:val="00186671"/>
    <w:rsid w:val="0019487C"/>
    <w:rsid w:val="001A100F"/>
    <w:rsid w:val="001A4D4B"/>
    <w:rsid w:val="001D2EC7"/>
    <w:rsid w:val="001E4D7B"/>
    <w:rsid w:val="001F2C2C"/>
    <w:rsid w:val="00201CA3"/>
    <w:rsid w:val="00206DBB"/>
    <w:rsid w:val="0021007B"/>
    <w:rsid w:val="002129AA"/>
    <w:rsid w:val="0021738A"/>
    <w:rsid w:val="00224F64"/>
    <w:rsid w:val="00227A03"/>
    <w:rsid w:val="00231C17"/>
    <w:rsid w:val="00235DB6"/>
    <w:rsid w:val="0024142E"/>
    <w:rsid w:val="00252513"/>
    <w:rsid w:val="00252BA2"/>
    <w:rsid w:val="00261B2A"/>
    <w:rsid w:val="002654FC"/>
    <w:rsid w:val="0026560C"/>
    <w:rsid w:val="00277E5F"/>
    <w:rsid w:val="002826C5"/>
    <w:rsid w:val="002831B8"/>
    <w:rsid w:val="00286F86"/>
    <w:rsid w:val="002C0395"/>
    <w:rsid w:val="002C419E"/>
    <w:rsid w:val="002E75BF"/>
    <w:rsid w:val="002F705D"/>
    <w:rsid w:val="00311A0A"/>
    <w:rsid w:val="00317D48"/>
    <w:rsid w:val="00352249"/>
    <w:rsid w:val="003556D0"/>
    <w:rsid w:val="00364239"/>
    <w:rsid w:val="003651E8"/>
    <w:rsid w:val="00365AEA"/>
    <w:rsid w:val="003825F4"/>
    <w:rsid w:val="003906D7"/>
    <w:rsid w:val="00395D4F"/>
    <w:rsid w:val="003A356C"/>
    <w:rsid w:val="003E476E"/>
    <w:rsid w:val="003F4495"/>
    <w:rsid w:val="00410559"/>
    <w:rsid w:val="00411451"/>
    <w:rsid w:val="00422764"/>
    <w:rsid w:val="00434DA3"/>
    <w:rsid w:val="00466C7C"/>
    <w:rsid w:val="004754FF"/>
    <w:rsid w:val="004A2379"/>
    <w:rsid w:val="004B2C50"/>
    <w:rsid w:val="004C1AE5"/>
    <w:rsid w:val="004C2094"/>
    <w:rsid w:val="004D0FDC"/>
    <w:rsid w:val="004E560C"/>
    <w:rsid w:val="004F79C4"/>
    <w:rsid w:val="00513D34"/>
    <w:rsid w:val="00527258"/>
    <w:rsid w:val="005314A5"/>
    <w:rsid w:val="00534CD6"/>
    <w:rsid w:val="00567BBF"/>
    <w:rsid w:val="0057068E"/>
    <w:rsid w:val="00572A34"/>
    <w:rsid w:val="005804D6"/>
    <w:rsid w:val="00583DAE"/>
    <w:rsid w:val="0058526D"/>
    <w:rsid w:val="0059079D"/>
    <w:rsid w:val="00591AF0"/>
    <w:rsid w:val="00593DA6"/>
    <w:rsid w:val="005A1664"/>
    <w:rsid w:val="005A7A36"/>
    <w:rsid w:val="005B02FD"/>
    <w:rsid w:val="005B14A9"/>
    <w:rsid w:val="005B1B08"/>
    <w:rsid w:val="005C15E5"/>
    <w:rsid w:val="005C5AD4"/>
    <w:rsid w:val="005D1B61"/>
    <w:rsid w:val="005D5DED"/>
    <w:rsid w:val="005F0156"/>
    <w:rsid w:val="005F2EAF"/>
    <w:rsid w:val="00604034"/>
    <w:rsid w:val="00605617"/>
    <w:rsid w:val="006112B6"/>
    <w:rsid w:val="00611F3E"/>
    <w:rsid w:val="0063268A"/>
    <w:rsid w:val="00634234"/>
    <w:rsid w:val="00641B6E"/>
    <w:rsid w:val="0066044E"/>
    <w:rsid w:val="00662476"/>
    <w:rsid w:val="00677A2C"/>
    <w:rsid w:val="0068333B"/>
    <w:rsid w:val="00690C90"/>
    <w:rsid w:val="00691ED8"/>
    <w:rsid w:val="00697AA0"/>
    <w:rsid w:val="006A2628"/>
    <w:rsid w:val="006A667C"/>
    <w:rsid w:val="006C192F"/>
    <w:rsid w:val="006C6DE5"/>
    <w:rsid w:val="006D4F00"/>
    <w:rsid w:val="006E2F5C"/>
    <w:rsid w:val="006F1BE1"/>
    <w:rsid w:val="006F3EAB"/>
    <w:rsid w:val="006F7C98"/>
    <w:rsid w:val="00703A1E"/>
    <w:rsid w:val="007049D6"/>
    <w:rsid w:val="007462DE"/>
    <w:rsid w:val="0075614F"/>
    <w:rsid w:val="007566C7"/>
    <w:rsid w:val="00760D66"/>
    <w:rsid w:val="0076381D"/>
    <w:rsid w:val="007F7D32"/>
    <w:rsid w:val="00803CCB"/>
    <w:rsid w:val="00803CEB"/>
    <w:rsid w:val="008171B0"/>
    <w:rsid w:val="00827D0B"/>
    <w:rsid w:val="00837B2C"/>
    <w:rsid w:val="00840235"/>
    <w:rsid w:val="00846A49"/>
    <w:rsid w:val="00847754"/>
    <w:rsid w:val="00854BC3"/>
    <w:rsid w:val="00854F50"/>
    <w:rsid w:val="0086300E"/>
    <w:rsid w:val="00867517"/>
    <w:rsid w:val="00877BF6"/>
    <w:rsid w:val="00883E71"/>
    <w:rsid w:val="00887C9E"/>
    <w:rsid w:val="008954CB"/>
    <w:rsid w:val="00901846"/>
    <w:rsid w:val="00933624"/>
    <w:rsid w:val="009401A6"/>
    <w:rsid w:val="00947DE9"/>
    <w:rsid w:val="00952B4F"/>
    <w:rsid w:val="00957E1B"/>
    <w:rsid w:val="009C664B"/>
    <w:rsid w:val="009E239B"/>
    <w:rsid w:val="009E6D1E"/>
    <w:rsid w:val="009F64FA"/>
    <w:rsid w:val="00A02CD8"/>
    <w:rsid w:val="00A43E3C"/>
    <w:rsid w:val="00A57A53"/>
    <w:rsid w:val="00A63D95"/>
    <w:rsid w:val="00A6401F"/>
    <w:rsid w:val="00A67C63"/>
    <w:rsid w:val="00A71919"/>
    <w:rsid w:val="00A75DCD"/>
    <w:rsid w:val="00A93C6C"/>
    <w:rsid w:val="00A963F3"/>
    <w:rsid w:val="00AA7E58"/>
    <w:rsid w:val="00AB0A83"/>
    <w:rsid w:val="00AB2AD1"/>
    <w:rsid w:val="00AC18FA"/>
    <w:rsid w:val="00AC4DD1"/>
    <w:rsid w:val="00AC6717"/>
    <w:rsid w:val="00AE5C33"/>
    <w:rsid w:val="00B00C5F"/>
    <w:rsid w:val="00B04B1A"/>
    <w:rsid w:val="00B050DF"/>
    <w:rsid w:val="00B1404F"/>
    <w:rsid w:val="00B17BA9"/>
    <w:rsid w:val="00B3175F"/>
    <w:rsid w:val="00B36EF1"/>
    <w:rsid w:val="00B45577"/>
    <w:rsid w:val="00B463B7"/>
    <w:rsid w:val="00B53C16"/>
    <w:rsid w:val="00B53EBF"/>
    <w:rsid w:val="00B5477B"/>
    <w:rsid w:val="00B834C3"/>
    <w:rsid w:val="00BA2DD0"/>
    <w:rsid w:val="00BC1287"/>
    <w:rsid w:val="00BC692D"/>
    <w:rsid w:val="00BE0B57"/>
    <w:rsid w:val="00BF030A"/>
    <w:rsid w:val="00BF5BE7"/>
    <w:rsid w:val="00C040DA"/>
    <w:rsid w:val="00C04803"/>
    <w:rsid w:val="00C22A59"/>
    <w:rsid w:val="00C22FB2"/>
    <w:rsid w:val="00C52F30"/>
    <w:rsid w:val="00C73015"/>
    <w:rsid w:val="00C83BF3"/>
    <w:rsid w:val="00CB23DC"/>
    <w:rsid w:val="00CD3F60"/>
    <w:rsid w:val="00CE5D28"/>
    <w:rsid w:val="00D340A7"/>
    <w:rsid w:val="00D3743F"/>
    <w:rsid w:val="00D4179D"/>
    <w:rsid w:val="00D42E56"/>
    <w:rsid w:val="00D77599"/>
    <w:rsid w:val="00D97820"/>
    <w:rsid w:val="00DC49CB"/>
    <w:rsid w:val="00DE0A10"/>
    <w:rsid w:val="00DF5F21"/>
    <w:rsid w:val="00E15E7D"/>
    <w:rsid w:val="00E24E78"/>
    <w:rsid w:val="00E25BF4"/>
    <w:rsid w:val="00E44414"/>
    <w:rsid w:val="00E634E4"/>
    <w:rsid w:val="00E654F6"/>
    <w:rsid w:val="00E77CB0"/>
    <w:rsid w:val="00E8134C"/>
    <w:rsid w:val="00E85163"/>
    <w:rsid w:val="00E91528"/>
    <w:rsid w:val="00EA3E5F"/>
    <w:rsid w:val="00EC34A3"/>
    <w:rsid w:val="00EC700B"/>
    <w:rsid w:val="00EF49AE"/>
    <w:rsid w:val="00F0647F"/>
    <w:rsid w:val="00F12E4F"/>
    <w:rsid w:val="00F13BDE"/>
    <w:rsid w:val="00F14D60"/>
    <w:rsid w:val="00F160DE"/>
    <w:rsid w:val="00F167EE"/>
    <w:rsid w:val="00F25119"/>
    <w:rsid w:val="00F25206"/>
    <w:rsid w:val="00F256C2"/>
    <w:rsid w:val="00F437EC"/>
    <w:rsid w:val="00F46D2C"/>
    <w:rsid w:val="00F61939"/>
    <w:rsid w:val="00F62AD2"/>
    <w:rsid w:val="00F71FED"/>
    <w:rsid w:val="00F73E71"/>
    <w:rsid w:val="00F91502"/>
    <w:rsid w:val="00FA5C64"/>
    <w:rsid w:val="00FE3E3A"/>
    <w:rsid w:val="00FE5417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34B0"/>
  <w15:chartTrackingRefBased/>
  <w15:docId w15:val="{F9B421EA-6A10-4C64-B3A3-CB31257E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3C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53C16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2">
    <w:name w:val="Body Text Indent 2"/>
    <w:basedOn w:val="Normal"/>
    <w:link w:val="BodyTextIndent2Char"/>
    <w:rsid w:val="00B53C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53C1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B5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qFormat/>
    <w:rsid w:val="00B53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53C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526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C41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662476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599"/>
    <w:pPr>
      <w:spacing w:after="160"/>
    </w:pPr>
    <w:rPr>
      <w:rFonts w:asciiTheme="minorHAnsi" w:eastAsiaTheme="minorHAnsi" w:hAnsiTheme="minorHAnsi" w:cstheme="minorBidi"/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59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A2C"/>
  </w:style>
  <w:style w:type="paragraph" w:styleId="Footer">
    <w:name w:val="footer"/>
    <w:basedOn w:val="Normal"/>
    <w:link w:val="FooterChar"/>
    <w:uiPriority w:val="99"/>
    <w:unhideWhenUsed/>
    <w:rsid w:val="0067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B94F-32B2-4E87-9FBD-BF2773E4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16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VALENTINOVA YOTOVA</dc:creator>
  <cp:keywords/>
  <dc:description/>
  <cp:lastModifiedBy>John</cp:lastModifiedBy>
  <cp:revision>215</cp:revision>
  <dcterms:created xsi:type="dcterms:W3CDTF">2022-06-16T16:08:00Z</dcterms:created>
  <dcterms:modified xsi:type="dcterms:W3CDTF">2022-10-07T13:17:00Z</dcterms:modified>
</cp:coreProperties>
</file>